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/>
          <w:sz w:val="24"/>
          <w:szCs w:val="24"/>
        </w:rPr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 xml:space="preserve">PARECER JURÍDICO N° </w:t>
      </w: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104</w:t>
      </w: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PL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05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4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>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>AUTORIA: Poder Executivo</w:t>
      </w:r>
    </w:p>
    <w:p>
      <w:pPr>
        <w:pStyle w:val="Normal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highlight w:val="white"/>
        </w:rPr>
        <w:t>EMENTA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Calibri" w:ascii="Arial" w:hAnsi="Arial" w:cstheme="majorHAnsi"/>
          <w:bCs/>
          <w:i/>
          <w:iCs/>
          <w:color w:val="333333"/>
          <w:sz w:val="24"/>
          <w:szCs w:val="24"/>
          <w:lang w:val="pt-BR"/>
        </w:rPr>
        <w:t xml:space="preserve">  </w:t>
      </w:r>
      <w:r>
        <w:rPr>
          <w:rFonts w:eastAsia="Calibri" w:cs="Calibri" w:ascii="Arial" w:hAnsi="Arial" w:cstheme="majorHAnsi"/>
          <w:bCs/>
          <w:i/>
          <w:iCs/>
          <w:color w:val="333333"/>
          <w:sz w:val="22"/>
          <w:szCs w:val="22"/>
          <w:lang w:val="pt-BR"/>
        </w:rPr>
        <w:t>"Altera dispositivos da Lei Municipal nº 3.924, de 20 de dezembro de 2007, que estabelece a estrutura administrativa da Prefeitura Municipal de Igrejinha, e dá outras providências"</w:t>
      </w:r>
    </w:p>
    <w:p>
      <w:pPr>
        <w:pStyle w:val="Normal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rFonts w:eastAsia="Calibri" w:cs="Calibri" w:ascii="Arial" w:hAnsi="Arial" w:cstheme="majorHAnsi"/>
          <w:b w:val="false"/>
          <w:bCs w:val="false"/>
          <w:color w:val="000000"/>
          <w:sz w:val="22"/>
          <w:szCs w:val="22"/>
          <w:lang w:val="de-DE"/>
        </w:rPr>
        <w:t xml:space="preserve">Protocolado em 17/08/2026 - Encaminhado à Comissão na 28ª SO– Rito NORMAL 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  <w:u w:val="single"/>
        </w:rPr>
        <w:t>I – RELATÓRIO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  <w:u w:val="single"/>
        </w:rPr>
      </w:pPr>
      <w:r>
        <w:rPr>
          <w:rFonts w:eastAsia="Calibri" w:cs="Arial" w:ascii="Arial" w:hAnsi="Arial"/>
          <w:b/>
          <w:sz w:val="24"/>
          <w:szCs w:val="24"/>
          <w:u w:val="single"/>
        </w:rPr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 xml:space="preserve">A mesa Diretora da Câmara de Vereadores de Igrejinha encaminhou, nesta data, para essa Procuradoria Jurídica pedido de análise e emissão de parecer jurídico de proposição de autoria do Executivo Municipal. </w:t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É o sucinto relatório.</w:t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Passo à análise jurídica.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  <w:u w:val="single"/>
        </w:rPr>
        <w:t>II – ANÁLISE JURÍDICA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 </w:t>
      </w:r>
    </w:p>
    <w:p>
      <w:pPr>
        <w:pStyle w:val="Normal"/>
        <w:widowControl w:val="false"/>
        <w:spacing w:lineRule="auto" w:line="240"/>
        <w:ind w:firstLine="85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 xml:space="preserve">Quanto ao rito processual, o Executivo Municipal </w:t>
      </w:r>
      <w:r>
        <w:rPr>
          <w:rFonts w:eastAsia="Calibri" w:cs="Arial" w:ascii="Arial" w:hAnsi="Arial"/>
          <w:sz w:val="24"/>
          <w:szCs w:val="24"/>
        </w:rPr>
        <w:t xml:space="preserve">não </w:t>
      </w:r>
      <w:r>
        <w:rPr>
          <w:rFonts w:eastAsia="Calibri" w:cs="Arial" w:ascii="Arial" w:hAnsi="Arial"/>
          <w:sz w:val="24"/>
          <w:szCs w:val="24"/>
        </w:rPr>
        <w:t xml:space="preserve">solicitou urgência de forma motivada, motivo pelo qual a matéria tramita em </w:t>
      </w:r>
      <w:r>
        <w:rPr>
          <w:rFonts w:eastAsia="Calibri" w:cs="Arial" w:ascii="Arial" w:hAnsi="Arial"/>
          <w:sz w:val="24"/>
          <w:szCs w:val="24"/>
        </w:rPr>
        <w:t>rito normal</w:t>
      </w:r>
      <w:r>
        <w:rPr>
          <w:rFonts w:eastAsia="Calibri" w:cs="Arial" w:ascii="Arial" w:hAnsi="Arial"/>
          <w:sz w:val="24"/>
          <w:szCs w:val="24"/>
        </w:rPr>
        <w:t>.</w:t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</w:r>
    </w:p>
    <w:p>
      <w:pPr>
        <w:pStyle w:val="LOnormal"/>
        <w:widowControl w:val="false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>Da Competência e iniciativa</w:t>
      </w:r>
    </w:p>
    <w:p>
      <w:pPr>
        <w:pStyle w:val="LO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spacing w:lineRule="auto" w:line="240"/>
        <w:ind w:firstLine="851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</w:r>
    </w:p>
    <w:p>
      <w:pPr>
        <w:pStyle w:val="LOnormal"/>
        <w:shd w:val="clear" w:color="auto" w:fill="FFFFFF"/>
        <w:spacing w:lineRule="auto" w:line="240"/>
        <w:ind w:left="2267" w:firstLine="36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  <w:t>“</w:t>
      </w:r>
      <w:r>
        <w:rPr>
          <w:rFonts w:eastAsia="Calibri" w:cs="Arial" w:ascii="Arial" w:hAnsi="Arial"/>
          <w:i/>
          <w:sz w:val="24"/>
          <w:szCs w:val="24"/>
        </w:rPr>
        <w:t>Art. 30. Compete aos Municípios:</w:t>
      </w:r>
    </w:p>
    <w:p>
      <w:pPr>
        <w:pStyle w:val="LOnormal"/>
        <w:shd w:val="clear" w:color="auto" w:fill="FFFFFF"/>
        <w:spacing w:lineRule="auto" w:line="240"/>
        <w:ind w:left="2267" w:firstLine="36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  <w:t>I - legislar sobre assuntos de interesse local; [...]</w:t>
      </w:r>
    </w:p>
    <w:p>
      <w:pPr>
        <w:pStyle w:val="LOnormal"/>
        <w:shd w:val="clear" w:color="auto" w:fill="FFFFFF"/>
        <w:spacing w:lineRule="auto" w:line="240"/>
        <w:ind w:left="2267" w:first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Onormal"/>
        <w:shd w:val="clear" w:color="auto" w:fill="FFFFFF"/>
        <w:spacing w:lineRule="auto" w:line="240"/>
        <w:ind w:left="2267" w:first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Ademais, a Lei Orgânica do Município de Igrejinha tratou no inciso I</w:t>
      </w:r>
      <w:r>
        <w:rPr>
          <w:rFonts w:eastAsia="Calibri" w:cs="Arial" w:ascii="Arial" w:hAnsi="Arial"/>
          <w:sz w:val="24"/>
          <w:szCs w:val="24"/>
        </w:rPr>
        <w:t>II</w:t>
      </w:r>
      <w:r>
        <w:rPr>
          <w:rFonts w:eastAsia="Calibri" w:cs="Arial" w:ascii="Arial" w:hAnsi="Arial"/>
          <w:sz w:val="24"/>
          <w:szCs w:val="24"/>
        </w:rPr>
        <w:t xml:space="preserve">, do Art. 46, da competência privativa do Prefeito Municipal no tocante à </w:t>
      </w:r>
      <w:r>
        <w:rPr>
          <w:rFonts w:eastAsia="Calibri" w:cs="Arial" w:ascii="Arial" w:hAnsi="Arial"/>
          <w:sz w:val="24"/>
          <w:szCs w:val="24"/>
        </w:rPr>
        <w:t>organização administrativa dos serviços do Município</w:t>
      </w:r>
      <w:r>
        <w:rPr>
          <w:rFonts w:eastAsia="Calibri" w:cs="Arial" w:ascii="Arial" w:hAnsi="Arial"/>
          <w:sz w:val="24"/>
          <w:szCs w:val="24"/>
        </w:rPr>
        <w:t xml:space="preserve">. </w:t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</w:r>
    </w:p>
    <w:p>
      <w:pPr>
        <w:pStyle w:val="LOnormal"/>
        <w:spacing w:lineRule="auto" w:line="240"/>
        <w:ind w:left="2267" w:hanging="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  <w:t>“</w:t>
      </w:r>
      <w:r>
        <w:rPr>
          <w:rFonts w:eastAsia="Calibri" w:cs="Arial" w:ascii="Arial" w:hAnsi="Arial"/>
          <w:i/>
          <w:sz w:val="24"/>
          <w:szCs w:val="24"/>
        </w:rPr>
        <w:t>Art. 46. São de iniciativa privativa do Prefeito, os projetos de lei que disponham sobre:</w:t>
      </w:r>
    </w:p>
    <w:p>
      <w:pPr>
        <w:pStyle w:val="LOnormal"/>
        <w:spacing w:lineRule="auto" w:line="240"/>
        <w:ind w:left="2267" w:hanging="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  <w:t xml:space="preserve">I - criação, alteração e extinção de cargo, função pública ou emprego do Poder Executivo e autarquias do Município; </w:t>
      </w:r>
    </w:p>
    <w:p>
      <w:pPr>
        <w:pStyle w:val="LOnormal"/>
        <w:spacing w:lineRule="auto" w:line="240"/>
        <w:ind w:left="2267" w:hanging="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  <w:t>II - criação de novas vantagens de qualquer espécie, aos servidores públicos do Poder Executivo, e, aumento de vencimentos;</w:t>
      </w:r>
    </w:p>
    <w:p>
      <w:pPr>
        <w:pStyle w:val="LOnormal"/>
        <w:spacing w:lineRule="auto" w:line="240"/>
        <w:ind w:left="2267" w:hanging="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  <w:t xml:space="preserve">III - organização administrativa dos serviços do Município; </w:t>
      </w:r>
    </w:p>
    <w:p>
      <w:pPr>
        <w:pStyle w:val="LOnormal"/>
        <w:spacing w:lineRule="auto" w:line="240"/>
        <w:ind w:left="2267" w:hanging="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  <w:t xml:space="preserve">IV - matéria tributária; </w:t>
      </w:r>
    </w:p>
    <w:p>
      <w:pPr>
        <w:pStyle w:val="LOnormal"/>
        <w:spacing w:lineRule="auto" w:line="240"/>
        <w:ind w:left="2267" w:hanging="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  <w:t xml:space="preserve">V - Plano Plurianual, diretrizes orçamentárias e orçamento anual; </w:t>
      </w:r>
    </w:p>
    <w:p>
      <w:pPr>
        <w:pStyle w:val="LOnormal"/>
        <w:spacing w:lineRule="auto" w:line="240"/>
        <w:ind w:left="2267" w:hanging="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  <w:t>VI - Servidor Público Municipal e seu regime jurídico.”</w:t>
      </w:r>
    </w:p>
    <w:p>
      <w:pPr>
        <w:pStyle w:val="LOnormal"/>
        <w:spacing w:lineRule="auto" w:line="240"/>
        <w:ind w:left="2267" w:hanging="0"/>
        <w:jc w:val="both"/>
        <w:rPr>
          <w:rFonts w:ascii="Arial" w:hAnsi="Arial" w:eastAsia="Calibri" w:cs="Arial"/>
          <w:i/>
          <w:i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</w:r>
    </w:p>
    <w:p>
      <w:pPr>
        <w:pStyle w:val="LOnormal"/>
        <w:spacing w:lineRule="auto" w:line="240"/>
        <w:ind w:left="2267" w:hanging="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 xml:space="preserve">Também verificamos que o Executivo Municipal fez uso da prerrogativa a ele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 w:eastAsia="Calibri" w:cs="Arial"/>
        </w:rPr>
      </w:pPr>
      <w:r>
        <w:rPr>
          <w:rFonts w:eastAsia="Calibri" w:cs="Arial" w:ascii="Arial" w:hAnsi="Arial"/>
        </w:rPr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  <w:shd w:fill="auto" w:val="clear"/>
        </w:rPr>
        <w:t xml:space="preserve">Quanto a matéria, o projeto tem por objetivo </w:t>
      </w:r>
      <w:r>
        <w:rPr>
          <w:rFonts w:eastAsia="Calibri" w:cs="Calibri" w:ascii="Arial" w:hAnsi="Arial"/>
          <w:sz w:val="24"/>
          <w:szCs w:val="24"/>
          <w:shd w:fill="auto" w:val="clear"/>
        </w:rPr>
        <w:t>transferir o departamento de desporto atualmente vinculado ao Gabinete do Prefeito, passando o mesmo a integrar a estrutura da Secretaria de Administração, bem como alterar a nomenclatura do departamento.</w:t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  <w:shd w:fill="auto" w:val="clear"/>
        </w:rPr>
        <w:t xml:space="preserve">A matéria não impacta o orçamento, </w:t>
      </w:r>
      <w:r>
        <w:rPr>
          <w:rFonts w:eastAsia="Calibri" w:cs="Calibri" w:ascii="Arial" w:hAnsi="Arial"/>
          <w:sz w:val="24"/>
          <w:szCs w:val="24"/>
          <w:shd w:fill="auto" w:val="clear"/>
        </w:rPr>
        <w:t xml:space="preserve">tendo em vista não haver alterações na estrutura de cargos e servidores, sendo mera transferência na estrutura administrativa, sem acréscimos ou supressões.  </w:t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 w:eastAsia="Calibri" w:cs="Calibri"/>
          <w:b/>
          <w:b/>
          <w:sz w:val="24"/>
          <w:szCs w:val="24"/>
          <w:u w:val="single"/>
        </w:rPr>
      </w:pPr>
      <w:r>
        <w:rPr>
          <w:rFonts w:eastAsia="Calibri" w:cs="Calibri" w:ascii="Arial" w:hAnsi="Arial"/>
          <w:b/>
          <w:sz w:val="24"/>
          <w:szCs w:val="24"/>
          <w:u w:val="single"/>
        </w:rPr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 xml:space="preserve">Assim, a matéria não apresenta ilegalidade e o projeto atende os requisitos formais sendo viável a sua apreciação. </w:t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 w:eastAsia="Calibri" w:cs="Arial"/>
          <w:b/>
          <w:b/>
          <w:sz w:val="24"/>
          <w:szCs w:val="24"/>
          <w:u w:val="single"/>
        </w:rPr>
      </w:pPr>
      <w:r>
        <w:rPr>
          <w:rFonts w:eastAsia="Calibri" w:cs="Arial" w:ascii="Arial" w:hAnsi="Arial"/>
          <w:b/>
          <w:sz w:val="24"/>
          <w:szCs w:val="24"/>
          <w:u w:val="single"/>
        </w:rPr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 w:eastAsia="Calibri" w:cs="Arial"/>
          <w:b/>
          <w:b/>
          <w:sz w:val="24"/>
          <w:szCs w:val="24"/>
          <w:u w:val="single"/>
        </w:rPr>
      </w:pPr>
      <w:r>
        <w:rPr>
          <w:rFonts w:eastAsia="Calibri" w:cs="Arial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jc w:val="both"/>
        <w:rPr>
          <w:rFonts w:ascii="Arial" w:hAnsi="Arial"/>
        </w:rPr>
      </w:pPr>
      <w:r>
        <w:rPr>
          <w:rFonts w:eastAsia="Calibri" w:cs="Arial" w:ascii="Arial" w:hAnsi="Arial"/>
          <w:b/>
          <w:sz w:val="24"/>
          <w:szCs w:val="24"/>
          <w:u w:val="single"/>
        </w:rPr>
        <w:t>III – CONCLUSÃO</w:t>
      </w:r>
      <w:r>
        <w:rPr>
          <w:rFonts w:eastAsia="Calibri" w:cs="Arial" w:ascii="Arial" w:hAnsi="Arial"/>
          <w:b/>
          <w:sz w:val="24"/>
          <w:szCs w:val="24"/>
        </w:rPr>
        <w:t xml:space="preserve"> </w:t>
      </w:r>
    </w:p>
    <w:p>
      <w:pPr>
        <w:pStyle w:val="LOnormal"/>
        <w:spacing w:lineRule="auto" w:line="240"/>
        <w:ind w:left="2260" w:firstLine="7"/>
        <w:jc w:val="both"/>
        <w:rPr>
          <w:rFonts w:ascii="Arial" w:hAnsi="Arial" w:eastAsia="Calibri" w:cs="Arial"/>
          <w:i/>
          <w:i/>
          <w:sz w:val="24"/>
          <w:szCs w:val="24"/>
        </w:rPr>
      </w:pPr>
      <w:r>
        <w:rPr>
          <w:rFonts w:eastAsia="Calibri" w:cs="Arial" w:ascii="Arial" w:hAnsi="Arial"/>
          <w:i/>
          <w:sz w:val="24"/>
          <w:szCs w:val="24"/>
        </w:rPr>
      </w:r>
    </w:p>
    <w:p>
      <w:pPr>
        <w:pStyle w:val="LOnormal"/>
        <w:spacing w:lineRule="auto" w:line="240"/>
        <w:ind w:firstLine="850"/>
        <w:jc w:val="both"/>
        <w:rPr>
          <w:b/>
          <w:b/>
          <w:bCs/>
        </w:rPr>
      </w:pPr>
      <w:r>
        <w:rPr>
          <w:rFonts w:eastAsia="Calibri" w:cs="Arial" w:ascii="Arial" w:hAnsi="Arial"/>
          <w:sz w:val="24"/>
          <w:szCs w:val="24"/>
        </w:rPr>
        <w:t xml:space="preserve">Assim sendo, esta Assessoria Jurídica opina pela </w:t>
      </w:r>
      <w:r>
        <w:rPr>
          <w:rFonts w:eastAsia="Calibri" w:cs="Arial" w:ascii="Arial" w:hAnsi="Arial"/>
          <w:b/>
          <w:i/>
          <w:sz w:val="24"/>
          <w:szCs w:val="24"/>
        </w:rPr>
        <w:t xml:space="preserve">legalidade </w:t>
      </w:r>
      <w:r>
        <w:rPr>
          <w:rFonts w:eastAsia="Calibri" w:cs="Arial" w:ascii="Arial" w:hAnsi="Arial"/>
          <w:sz w:val="24"/>
          <w:szCs w:val="24"/>
        </w:rPr>
        <w:t>e</w:t>
      </w:r>
      <w:r>
        <w:rPr>
          <w:rFonts w:eastAsia="Calibri" w:cs="Arial" w:ascii="Arial" w:hAnsi="Arial"/>
          <w:b/>
          <w:i/>
          <w:sz w:val="24"/>
          <w:szCs w:val="24"/>
        </w:rPr>
        <w:t xml:space="preserve"> constitucionalidade</w:t>
      </w:r>
      <w:r>
        <w:rPr>
          <w:rFonts w:eastAsia="Calibri" w:cs="Arial" w:ascii="Arial" w:hAnsi="Arial"/>
          <w:i/>
          <w:sz w:val="24"/>
          <w:szCs w:val="24"/>
        </w:rPr>
        <w:t xml:space="preserve"> </w:t>
      </w:r>
      <w:r>
        <w:rPr>
          <w:rFonts w:eastAsia="Calibri" w:cs="Arial" w:ascii="Arial" w:hAnsi="Arial"/>
          <w:sz w:val="24"/>
          <w:szCs w:val="24"/>
        </w:rPr>
        <w:t>do referido projeto de Lei, tendo em vista que em análise não se observou qualquer vício em sua redação.</w:t>
      </w:r>
    </w:p>
    <w:p>
      <w:pPr>
        <w:pStyle w:val="LOnormal"/>
        <w:spacing w:lineRule="auto" w:line="240"/>
        <w:ind w:firstLine="850"/>
        <w:jc w:val="both"/>
        <w:rPr>
          <w:rFonts w:ascii="Arial" w:hAnsi="Arial"/>
          <w:b w:val="false"/>
          <w:b w:val="false"/>
          <w:bCs w:val="false"/>
        </w:rPr>
      </w:pPr>
      <w:r>
        <w:rPr>
          <w:rFonts w:ascii="Arial" w:hAnsi="Arial"/>
          <w:b w:val="false"/>
          <w:bCs w:val="false"/>
          <w:color w:val="000000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spacing w:lineRule="auto" w:line="240"/>
        <w:ind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spacing w:lineRule="auto" w:line="240"/>
        <w:ind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>Este é o parecer.</w:t>
      </w:r>
    </w:p>
    <w:p>
      <w:pPr>
        <w:pStyle w:val="Normal"/>
        <w:spacing w:lineRule="auto" w:line="240"/>
        <w:ind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</w:r>
    </w:p>
    <w:p>
      <w:pPr>
        <w:pStyle w:val="Normal"/>
        <w:spacing w:lineRule="auto" w:line="240"/>
        <w:ind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 xml:space="preserve">Igrejinha, </w:t>
      </w:r>
      <w:r>
        <w:rPr>
          <w:rFonts w:eastAsia="Calibri" w:cs="Arial" w:ascii="Arial" w:hAnsi="Arial"/>
          <w:sz w:val="24"/>
          <w:szCs w:val="24"/>
        </w:rPr>
        <w:t>10</w:t>
      </w:r>
      <w:r>
        <w:rPr>
          <w:rFonts w:eastAsia="Calibri" w:cs="Arial" w:ascii="Arial" w:hAnsi="Arial"/>
          <w:sz w:val="24"/>
          <w:szCs w:val="24"/>
        </w:rPr>
        <w:t xml:space="preserve"> de </w:t>
      </w:r>
      <w:r>
        <w:rPr>
          <w:rFonts w:eastAsia="Calibri" w:cs="Arial" w:ascii="Arial" w:hAnsi="Arial"/>
          <w:sz w:val="24"/>
          <w:szCs w:val="24"/>
        </w:rPr>
        <w:t>setembro d</w:t>
      </w:r>
      <w:r>
        <w:rPr>
          <w:rFonts w:eastAsia="Calibri" w:cs="Arial" w:ascii="Arial" w:hAnsi="Arial"/>
          <w:sz w:val="24"/>
          <w:szCs w:val="24"/>
        </w:rPr>
        <w:t>e 2026.</w:t>
      </w:r>
    </w:p>
    <w:p>
      <w:pPr>
        <w:pStyle w:val="Normal"/>
        <w:spacing w:lineRule="auto" w:line="240"/>
        <w:ind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Anderson Fidelis de Araujo </w:t>
      </w:r>
    </w:p>
    <w:p>
      <w:pPr>
        <w:pStyle w:val="Normal"/>
        <w:spacing w:lineRule="auto" w:line="240"/>
        <w:ind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>Assessor Jurídico</w:t>
      </w:r>
    </w:p>
    <w:p>
      <w:pPr>
        <w:pStyle w:val="Normal"/>
        <w:spacing w:lineRule="auto" w:line="240"/>
        <w:ind w:firstLine="850"/>
        <w:jc w:val="both"/>
        <w:rPr>
          <w:rFonts w:ascii="Arial" w:hAnsi="Arial"/>
        </w:rPr>
      </w:pPr>
      <w:r>
        <w:rPr>
          <w:rFonts w:cs="Arial" w:ascii="Arial" w:hAnsi="Arial"/>
          <w:sz w:val="24"/>
          <w:szCs w:val="24"/>
        </w:rPr>
        <w:t>OAB/RS 58.063.</w:t>
      </w:r>
    </w:p>
    <w:p>
      <w:pPr>
        <w:pStyle w:val="Normal"/>
        <w:spacing w:lineRule="auto" w:line="240"/>
        <w:ind w:firstLine="850"/>
        <w:jc w:val="both"/>
        <w:rPr>
          <w:rFonts w:ascii="Arial" w:hAnsi="Arial"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sz w:val="16"/>
        <w:szCs w:val="16"/>
      </w:rPr>
    </w:pPr>
    <w:hyperlink r:id="rId1">
      <w:r>
        <w:rPr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color w:val="000000"/>
        <w:sz w:val="20"/>
        <w:szCs w:val="20"/>
      </w:rPr>
    </w:pPr>
    <w:r>
      <w:drawing>
        <wp:anchor behindDoc="0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96b7c"/>
    <w:pPr>
      <w:spacing w:before="0" w:after="0"/>
      <w:ind w:left="72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Application>LibreOffice/7.4.0.3$Windows_X86_64 LibreOffice_project/f85e47c08ddd19c015c0114a68350214f7066f5a</Application>
  <AppVersion>15.0000</AppVersion>
  <Pages>2</Pages>
  <Words>533</Words>
  <Characters>2981</Characters>
  <CharactersWithSpaces>3497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2025-01-09T13:04:00Z</dcterms:created>
  <dc:creator>A.F.A Advogado</dc:creator>
  <dc:description/>
  <dc:language>pt-BR</dc:language>
  <cp:lastModifiedBy/>
  <dcterms:modified xsi:type="dcterms:W3CDTF">2026-09-15T14:20:58Z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