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 w:eastAsia="Calibri" w:cs="Calibri"/>
          <w:b/>
          <w:b/>
          <w:color w:val="000000"/>
          <w:sz w:val="24"/>
          <w:szCs w:val="24"/>
          <w:u w:val="single"/>
        </w:rPr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</w:r>
    </w:p>
    <w:p>
      <w:pPr>
        <w:pStyle w:val="Normal"/>
        <w:spacing w:lineRule="auto" w:line="240"/>
        <w:jc w:val="center"/>
        <w:rPr/>
      </w:pPr>
      <w:r>
        <w:rPr>
          <w:rFonts w:eastAsia="Calibri" w:cs="Calibri" w:ascii="Arial" w:hAnsi="Arial"/>
          <w:b/>
          <w:color w:val="000000"/>
          <w:sz w:val="24"/>
          <w:szCs w:val="24"/>
          <w:u w:val="single"/>
        </w:rPr>
        <w:t>PARECER JURÍDICO N° 108/2026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/>
      </w:pPr>
      <w:r>
        <w:rPr>
          <w:rFonts w:eastAsia="Calibri" w:cs="Arial" w:ascii="Arial" w:hAnsi="Arial"/>
          <w:b/>
          <w:color w:val="000000"/>
          <w:sz w:val="24"/>
          <w:szCs w:val="24"/>
        </w:rPr>
        <w:t>MATÉRIA: PLL</w:t>
      </w:r>
      <w:r>
        <w:rPr>
          <w:rFonts w:eastAsia="Calibri" w:cs="Calibri" w:ascii="Arial" w:hAnsi="Arial"/>
          <w:b/>
          <w:color w:val="000000"/>
          <w:sz w:val="24"/>
          <w:szCs w:val="24"/>
        </w:rPr>
        <w:t xml:space="preserve"> 035/2026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AUTORIA: Vereadora Neidi Roos </w:t>
      </w:r>
    </w:p>
    <w:p>
      <w:pPr>
        <w:pStyle w:val="Normal"/>
        <w:spacing w:lineRule="auto" w:line="240"/>
        <w:jc w:val="both"/>
        <w:rPr/>
      </w:pPr>
      <w:r>
        <w:rPr>
          <w:rFonts w:eastAsia="Calibri" w:cs="Arial" w:ascii="Arial" w:hAnsi="Arial"/>
          <w:b/>
          <w:bCs/>
          <w:i/>
          <w:iCs/>
          <w:color w:val="333333"/>
          <w:sz w:val="24"/>
          <w:szCs w:val="24"/>
          <w:shd w:fill="FFFFFF" w:val="clear"/>
        </w:rPr>
        <w:t>EMENTA: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eastAsia="Calibri" w:cs="Arial" w:ascii="Arial" w:hAnsi="Arial"/>
          <w:bCs/>
          <w:i/>
          <w:iCs/>
          <w:color w:val="333333"/>
          <w:sz w:val="22"/>
          <w:szCs w:val="22"/>
          <w:lang w:val="pt-BR"/>
        </w:rPr>
        <w:t xml:space="preserve"> "Institui, no âmbito do Município de Igrejinha, o  “Maio Roxo”, mês dedicado à conscientização sobre as doenças inflamatórias intestinais, como a Doença de Crohn e a Retocolite Ulcerativa;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>Protocolado em 11/05/2026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Calibri" w:cs="Calibri" w:ascii="Arial" w:hAnsi="Arial"/>
          <w:bCs/>
          <w:sz w:val="24"/>
          <w:szCs w:val="24"/>
          <w:lang w:val="de-DE"/>
        </w:rPr>
        <w:t>Encaminhado à Comissão em  12/05/2026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Arial" w:hAnsi="Arial" w:eastAsia="Calibri" w:cs="Calibri"/>
          <w:b/>
          <w:b/>
          <w:bCs/>
          <w:color w:val="000000"/>
          <w:sz w:val="24"/>
          <w:szCs w:val="24"/>
          <w:lang w:val="de-DE"/>
        </w:rPr>
      </w:pPr>
      <w:r>
        <w:rPr>
          <w:rFonts w:eastAsia="Calibri" w:cs="Calibri" w:ascii="Arial" w:hAnsi="Arial"/>
          <w:b/>
          <w:bCs/>
          <w:color w:val="000000"/>
          <w:sz w:val="24"/>
          <w:szCs w:val="24"/>
          <w:lang w:val="de-DE"/>
        </w:rPr>
        <w:t>Rito normal.</w:t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Normal"/>
        <w:widowControl w:val="false"/>
        <w:spacing w:lineRule="auto" w:line="240"/>
        <w:jc w:val="both"/>
        <w:rPr>
          <w:rFonts w:ascii="Arial" w:hAnsi="Arial" w:eastAsia="Calibri" w:cs="Calibri"/>
          <w:b/>
          <w:b/>
          <w:sz w:val="24"/>
          <w:szCs w:val="24"/>
        </w:rPr>
      </w:pPr>
      <w:r>
        <w:rPr>
          <w:rFonts w:eastAsia="Calibri" w:cs="Calibri" w:ascii="Arial" w:hAnsi="Arial"/>
          <w:b/>
          <w:sz w:val="24"/>
          <w:szCs w:val="24"/>
        </w:rPr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  <w:u w:val="single"/>
        </w:rPr>
      </w:pPr>
      <w:r>
        <w:rPr>
          <w:rFonts w:eastAsia="Calibri" w:cs="" w:asciiTheme="majorHAnsi" w:cstheme="majorHAnsi" w:hAnsiTheme="majorHAnsi"/>
          <w:b/>
          <w:u w:val="single"/>
        </w:rPr>
        <w:t>I – RELATÓRIO</w:t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  <w:u w:val="single"/>
        </w:rPr>
      </w:pPr>
      <w:r>
        <w:rPr>
          <w:rFonts w:eastAsia="Calibri" w:cs="" w:asciiTheme="majorHAnsi" w:cstheme="majorHAnsi" w:hAnsiTheme="majorHAnsi"/>
          <w:b/>
          <w:u w:val="single"/>
        </w:rPr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 xml:space="preserve">A mesa Diretora da Câmara de Vereadores de Igrejinha encaminhou para essa Procuradoria Jurídica pedido de análise e emissão de parecer jurídico de proposição de autoria de Vereador 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>É o sucinto relatório.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>Passo à análise jurídica.</w:t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</w:rPr>
      </w:pPr>
      <w:r>
        <w:rPr>
          <w:rFonts w:eastAsia="Calibri" w:cs="" w:asciiTheme="majorHAnsi" w:cstheme="majorHAnsi" w:hAnsiTheme="majorHAnsi"/>
          <w:b/>
        </w:rPr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  <w:u w:val="single"/>
        </w:rPr>
      </w:pPr>
      <w:r>
        <w:rPr>
          <w:rFonts w:eastAsia="Calibri" w:cs="" w:asciiTheme="majorHAnsi" w:cstheme="majorHAnsi" w:hAnsiTheme="majorHAnsi"/>
          <w:b/>
          <w:u w:val="single"/>
        </w:rPr>
        <w:t>II – ANÁLISE JURÍDICA</w:t>
      </w:r>
    </w:p>
    <w:p>
      <w:pPr>
        <w:pStyle w:val="LOnormal"/>
        <w:widowControl w:val="false"/>
        <w:spacing w:lineRule="auto" w:line="360"/>
        <w:jc w:val="both"/>
        <w:rPr>
          <w:rFonts w:eastAsia="Calibri" w:cs="" w:asciiTheme="majorHAnsi" w:cstheme="majorHAnsi" w:hAnsiTheme="majorHAnsi"/>
          <w:b/>
          <w:b/>
        </w:rPr>
      </w:pPr>
      <w:r>
        <w:rPr>
          <w:rFonts w:eastAsia="Calibri" w:cs="" w:asciiTheme="majorHAnsi" w:cstheme="majorHAnsi" w:hAnsiTheme="majorHAnsi"/>
          <w:b/>
        </w:rPr>
        <w:t xml:space="preserve"> </w:t>
      </w:r>
    </w:p>
    <w:p>
      <w:pPr>
        <w:pStyle w:val="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  <w:t xml:space="preserve">Quanto ao rito processual, o projeto tramita sem regime de urgência. </w:t>
      </w:r>
    </w:p>
    <w:p>
      <w:pPr>
        <w:pStyle w:val="LOnormal"/>
        <w:widowControl w:val="false"/>
        <w:spacing w:lineRule="auto" w:line="360"/>
        <w:ind w:firstLine="850"/>
        <w:jc w:val="both"/>
        <w:rPr>
          <w:rFonts w:eastAsia="Calibri" w:cs="" w:asciiTheme="majorHAnsi" w:cstheme="majorHAnsi" w:hAnsiTheme="majorHAnsi"/>
        </w:rPr>
      </w:pPr>
      <w:r>
        <w:rPr>
          <w:rFonts w:eastAsia="Calibri" w:cs="" w:asciiTheme="majorHAnsi" w:cstheme="majorHAnsi" w:hAnsiTheme="majorHAnsi"/>
        </w:rPr>
      </w:r>
    </w:p>
    <w:p>
      <w:pPr>
        <w:pStyle w:val="LOnormal"/>
        <w:spacing w:lineRule="auto" w:line="360"/>
        <w:rPr>
          <w:rFonts w:cs="" w:asciiTheme="majorHAnsi" w:cstheme="majorHAnsi" w:hAnsiTheme="majorHAnsi"/>
          <w:b/>
          <w:b/>
        </w:rPr>
      </w:pPr>
      <w:r>
        <w:rPr>
          <w:rFonts w:cs="" w:asciiTheme="majorHAnsi" w:cstheme="majorHAnsi" w:hAnsiTheme="majorHAnsi"/>
          <w:b/>
        </w:rPr>
        <w:t>Da Competência e iniciativa</w:t>
      </w:r>
    </w:p>
    <w:p>
      <w:pPr>
        <w:pStyle w:val="LOnormal"/>
        <w:spacing w:lineRule="auto" w:line="360"/>
        <w:rPr>
          <w:rFonts w:cs="" w:asciiTheme="majorHAnsi" w:cstheme="majorHAnsi" w:hAnsiTheme="majorHAnsi"/>
          <w:b/>
          <w:b/>
        </w:rPr>
      </w:pPr>
      <w:r>
        <w:rPr>
          <w:rFonts w:cs="" w:asciiTheme="majorHAnsi" w:cstheme="majorHAnsi" w:hAnsiTheme="majorHAnsi"/>
          <w:b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 xml:space="preserve">Em primeiro momento analisamos a competência quanto a esfera de poder (União, Estado, Município) para proposição do referido Projeto de Lei e, portanto, cumpre dizer que este Projeto tem a utilização legítima da competência legislativa disposta para os Municípios no inciso I, do art. 30, da CF/88, como segue: 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i/>
          <w:i/>
        </w:rPr>
      </w:pPr>
      <w:r>
        <w:rPr>
          <w:rFonts w:cs="" w:asciiTheme="majorHAnsi" w:cstheme="majorHAnsi" w:hAnsiTheme="majorHAnsi"/>
          <w:i/>
        </w:rPr>
        <w:t>“</w:t>
      </w:r>
      <w:r>
        <w:rPr>
          <w:rFonts w:cs="" w:asciiTheme="majorHAnsi" w:cstheme="majorHAnsi" w:hAnsiTheme="majorHAnsi"/>
          <w:i/>
        </w:rPr>
        <w:t>Art. 30. Compete aos Municípios: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  <w:i/>
        </w:rPr>
        <w:t>I - legislar sobre assuntos de interesse local; [...]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i/>
          <w:i/>
        </w:rPr>
      </w:pPr>
      <w:r>
        <w:rPr>
          <w:rFonts w:cs="" w:asciiTheme="majorHAnsi" w:cstheme="majorHAnsi" w:hAnsiTheme="majorHAnsi"/>
          <w:i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 xml:space="preserve">Também verificamos que a Vereadora faz uso da prerrogativa a ela reconhecida pela Lei Orgânica de Igrejinha para iniciar o processo legislativo, de modo que, nada há quanto a este requisito que possa macular a constitucionalidade do respectivo projeto de lei.  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  <w:i/>
          <w:i/>
          <w:iCs/>
        </w:rPr>
      </w:pPr>
      <w:r>
        <w:rPr>
          <w:rFonts w:cs="" w:asciiTheme="majorHAnsi" w:cstheme="majorHAnsi" w:hAnsiTheme="majorHAnsi"/>
        </w:rPr>
        <w:t>Quanto ao objeto, visa I</w:t>
      </w:r>
      <w:r>
        <w:rPr>
          <w:rFonts w:cs="" w:asciiTheme="majorHAnsi" w:cstheme="majorHAnsi" w:hAnsiTheme="majorHAnsi"/>
          <w:bCs/>
          <w:szCs w:val="22"/>
        </w:rPr>
        <w:t xml:space="preserve">nstituir o </w:t>
      </w:r>
      <w:r>
        <w:rPr>
          <w:rFonts w:ascii="Calibri" w:hAnsi="Calibri"/>
          <w:sz w:val="24"/>
        </w:rPr>
        <w:t>“Maio Roxo” como mês municipal de conscientização, prevenção quanto a doenças inflamatórias intestinais. Inicialmente o projeto apresentava inconsistências, tendo a autora apresentado emendas atendendo a orientação técnica da assessoria externa.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b/>
          <w:b/>
          <w:u w:val="single"/>
        </w:rPr>
      </w:pPr>
      <w:r>
        <w:rPr>
          <w:rFonts w:cs="" w:asciiTheme="majorHAnsi" w:cstheme="majorHAnsi" w:hAnsiTheme="majorHAnsi"/>
          <w:b/>
          <w:u w:val="single"/>
        </w:rPr>
      </w:r>
    </w:p>
    <w:p>
      <w:pPr>
        <w:pStyle w:val="LOnormal"/>
        <w:spacing w:lineRule="auto" w:line="360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  <w:b/>
          <w:u w:val="single"/>
        </w:rPr>
        <w:t>III – CONCLUSÃO</w:t>
      </w:r>
      <w:r>
        <w:rPr>
          <w:rFonts w:cs="" w:asciiTheme="majorHAnsi" w:cstheme="majorHAnsi" w:hAnsiTheme="majorHAnsi"/>
          <w:b/>
        </w:rPr>
        <w:t xml:space="preserve"> 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  <w:i/>
          <w:i/>
        </w:rPr>
      </w:pPr>
      <w:r>
        <w:rPr>
          <w:rFonts w:cs="" w:asciiTheme="majorHAnsi" w:cstheme="majorHAnsi" w:hAnsiTheme="majorHAnsi"/>
          <w:i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 xml:space="preserve">Assim sendo, esta Assessoria Jurídica opina pela </w:t>
      </w:r>
      <w:r>
        <w:rPr>
          <w:rFonts w:cs="" w:asciiTheme="majorHAnsi" w:cstheme="majorHAnsi" w:hAnsiTheme="majorHAnsi"/>
          <w:b/>
          <w:i/>
        </w:rPr>
        <w:t xml:space="preserve">legalidade </w:t>
      </w:r>
      <w:r>
        <w:rPr>
          <w:rFonts w:cs="" w:asciiTheme="majorHAnsi" w:cstheme="majorHAnsi" w:hAnsiTheme="majorHAnsi"/>
        </w:rPr>
        <w:t>e</w:t>
      </w:r>
      <w:r>
        <w:rPr>
          <w:rFonts w:cs="" w:asciiTheme="majorHAnsi" w:cstheme="majorHAnsi" w:hAnsiTheme="majorHAnsi"/>
          <w:b/>
          <w:i/>
        </w:rPr>
        <w:t xml:space="preserve"> constitucionalidade</w:t>
      </w:r>
      <w:r>
        <w:rPr>
          <w:rFonts w:cs="" w:asciiTheme="majorHAnsi" w:cstheme="majorHAnsi" w:hAnsiTheme="majorHAnsi"/>
          <w:i/>
        </w:rPr>
        <w:t xml:space="preserve"> </w:t>
      </w:r>
      <w:r>
        <w:rPr>
          <w:rFonts w:cs="" w:asciiTheme="majorHAnsi" w:cstheme="majorHAnsi" w:hAnsiTheme="majorHAnsi"/>
        </w:rPr>
        <w:t>do referido Projeto de Lei com as emendas, tendo em vista que não se observou qualquer vício em sua redação.</w:t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360"/>
        <w:ind w:firstLine="851"/>
        <w:jc w:val="both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  <w:t>No que diz respeito ao mérito, a Procuradoria Jurídica não irá se pronunciar, pois caberá aos vereadores, no uso da função legislativa, verificar a viabilidade da aprovação, respeitando-se para tanto, as formalidades legais e regimentais.</w:t>
      </w:r>
    </w:p>
    <w:p>
      <w:pPr>
        <w:pStyle w:val="LOnormal"/>
        <w:spacing w:lineRule="auto" w:line="360"/>
        <w:ind w:firstLine="851"/>
        <w:rPr>
          <w:rFonts w:cs="" w:asciiTheme="majorHAnsi" w:cstheme="majorHAnsi" w:hAnsiTheme="majorHAnsi"/>
        </w:rPr>
      </w:pPr>
      <w:r>
        <w:rPr>
          <w:rFonts w:cs="" w:asciiTheme="majorHAnsi" w:cstheme="majorHAnsi" w:hAnsiTheme="majorHAnsi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  <w:t>Este é o parecer.</w:t>
      </w:r>
    </w:p>
    <w:p>
      <w:pPr>
        <w:pStyle w:val="LOnormal"/>
        <w:spacing w:lineRule="auto" w:line="240"/>
        <w:ind w:left="0" w:right="0" w:firstLine="850"/>
        <w:jc w:val="both"/>
        <w:rPr>
          <w:rFonts w:ascii="Arial" w:hAnsi="Arial" w:eastAsia="Calibri" w:cs="Calibri"/>
          <w:sz w:val="24"/>
          <w:szCs w:val="24"/>
        </w:rPr>
      </w:pPr>
      <w:r>
        <w:rPr>
          <w:rFonts w:eastAsia="Calibri" w:cs="Calibri" w:ascii="Arial" w:hAnsi="Arial"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/>
        </w:rPr>
      </w:pPr>
      <w:r>
        <w:rPr>
          <w:rFonts w:eastAsia="Calibri" w:cs="Arial" w:ascii="Arial" w:hAnsi="Arial"/>
          <w:sz w:val="24"/>
          <w:szCs w:val="24"/>
        </w:rPr>
        <w:t>Igrejinha, 24 de setembro de 2026.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 xml:space="preserve">Anderson Fidelis de Araujo 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>Assessor Jurídico</w:t>
      </w:r>
    </w:p>
    <w:p>
      <w:pPr>
        <w:pStyle w:val="Normal"/>
        <w:spacing w:lineRule="auto" w:line="240"/>
        <w:ind w:left="0" w:right="0" w:firstLine="85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OAB/RS 58.063.</w:t>
      </w:r>
    </w:p>
    <w:p>
      <w:pPr>
        <w:pStyle w:val="Normal"/>
        <w:spacing w:lineRule="auto" w:line="240"/>
        <w:ind w:left="0" w:right="0" w:firstLine="850"/>
        <w:jc w:val="both"/>
        <w:rPr/>
      </w:pPr>
      <w:r>
        <w:rPr/>
      </w:r>
    </w:p>
    <w:p>
      <w:pPr>
        <w:pStyle w:val="LOnormal"/>
        <w:spacing w:lineRule="auto" w:line="240"/>
        <w:ind w:left="0" w:right="0" w:firstLine="851"/>
        <w:rPr>
          <w:rFonts w:ascii="Arial" w:hAnsi="Arial" w:cs="Calibri"/>
          <w:b/>
          <w:b/>
          <w:sz w:val="24"/>
          <w:szCs w:val="24"/>
          <w:u w:val="single"/>
        </w:rPr>
      </w:pPr>
      <w:r>
        <w:rPr>
          <w:rFonts w:cs="Calibri" w:ascii="Arial" w:hAnsi="Arial"/>
          <w:b/>
          <w:sz w:val="24"/>
          <w:szCs w:val="24"/>
          <w:u w:val="single"/>
        </w:rPr>
      </w:r>
    </w:p>
    <w:p>
      <w:pPr>
        <w:pStyle w:val="LOnormal"/>
        <w:spacing w:lineRule="auto" w:line="240"/>
        <w:rPr>
          <w:rFonts w:ascii="Arial" w:hAnsi="Arial" w:cs="Calibri"/>
          <w:b/>
          <w:b/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8" w:right="963" w:gutter="0" w:header="708" w:top="2095" w:footer="708" w:bottom="1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10080" w:leader="none"/>
      </w:tabs>
      <w:ind w:left="-1260" w:right="-1242" w:hanging="0"/>
      <w:jc w:val="center"/>
      <w:rPr>
        <w:rFonts w:ascii="Arial" w:hAnsi="Arial" w:eastAsia="Arial" w:cs="Arial"/>
        <w:color w:val="000000"/>
        <w:sz w:val="16"/>
        <w:szCs w:val="16"/>
      </w:rPr>
    </w:pPr>
    <w:r>
      <w:rPr>
        <w:rFonts w:eastAsia="Arial" w:cs="Arial" w:ascii="Arial" w:hAnsi="Arial"/>
        <w:color w:val="000000"/>
        <w:sz w:val="16"/>
        <w:szCs w:val="16"/>
      </w:rPr>
      <w:t xml:space="preserve"> “</w:t>
    </w:r>
    <w:r>
      <w:rPr>
        <w:rFonts w:eastAsia="Arial" w:cs="Arial" w:ascii="Arial" w:hAnsi="Arial"/>
        <w:color w:val="000000"/>
        <w:sz w:val="16"/>
        <w:szCs w:val="16"/>
      </w:rPr>
      <w:t>Doe vida: doe sangue, doe órgãos.”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/>
    </w:pPr>
    <w:hyperlink r:id="rId1">
      <w:r>
        <w:rPr>
          <w:rStyle w:val="LinkdaInternet"/>
          <w:rFonts w:eastAsia="Arial" w:cs="Arial" w:ascii="Arial" w:hAnsi="Arial"/>
          <w:b/>
          <w:color w:val="0000FF"/>
          <w:sz w:val="16"/>
          <w:szCs w:val="16"/>
          <w:u w:val="single"/>
        </w:rPr>
        <w:t>www.camaraigrejinha.com.br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-1843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drawing>
        <wp:anchor behindDoc="1" distT="114300" distB="114300" distL="114300" distR="114300" simplePos="0" locked="0" layoutInCell="0" allowOverlap="1" relativeHeight="3">
          <wp:simplePos x="0" y="0"/>
          <wp:positionH relativeFrom="column">
            <wp:posOffset>66675</wp:posOffset>
          </wp:positionH>
          <wp:positionV relativeFrom="paragraph">
            <wp:posOffset>-40005</wp:posOffset>
          </wp:positionV>
          <wp:extent cx="573405" cy="543560"/>
          <wp:effectExtent l="0" t="0" r="0" b="0"/>
          <wp:wrapTopAndBottom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color w:val="000000"/>
        <w:sz w:val="20"/>
        <w:szCs w:val="20"/>
      </w:rPr>
      <w:t>ESTADO DO RIO GRANDE DO SUL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color w:val="000000"/>
        <w:sz w:val="20"/>
        <w:szCs w:val="20"/>
      </w:rPr>
    </w:pPr>
    <w:r>
      <w:rPr>
        <w:rFonts w:eastAsia="Arial" w:cs="Arial" w:ascii="Arial" w:hAnsi="Arial"/>
        <w:b/>
        <w:color w:val="000000"/>
        <w:sz w:val="20"/>
        <w:szCs w:val="20"/>
      </w:rPr>
      <w:t>CÂMARA MUNICIPAL DE IGREJINHA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Rua Tiradentes, 115, Centro – CEP 95650-000 – Igrejinha RS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16"/>
        <w:szCs w:val="16"/>
      </w:rPr>
    </w:pPr>
    <w:r>
      <w:rPr>
        <w:rFonts w:eastAsia="Arial" w:cs="Arial" w:ascii="Arial" w:hAnsi="Arial"/>
        <w:b/>
        <w:sz w:val="16"/>
        <w:szCs w:val="16"/>
      </w:rPr>
      <w:t>Fone/Fax: (51) 3545.1644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rFonts w:ascii="Arial" w:hAnsi="Arial" w:eastAsia="Arial" w:cs="Arial"/>
        <w:b/>
        <w:b/>
        <w:sz w:val="20"/>
        <w:szCs w:val="20"/>
      </w:rPr>
    </w:pPr>
    <w:r>
      <w:rPr>
        <w:rFonts w:eastAsia="Arial" w:cs="Arial" w:ascii="Arial" w:hAnsi="Arial"/>
        <w:b/>
        <w:sz w:val="20"/>
        <w:szCs w:val="20"/>
      </w:rPr>
    </w:r>
  </w:p>
</w:hdr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>
    <w:name w:val="Default Paragraph Font"/>
    <w:qFormat/>
    <w:rPr/>
  </w:style>
  <w:style w:type="character" w:styleId="LinkdaInternet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Caracteresdenotaderodap">
    <w:name w:val="Caracteres de nota de rodapé"/>
    <w:qFormat/>
    <w:rPr/>
  </w:style>
  <w:style w:type="character" w:styleId="Ncoradanotaderodap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LOnormal">
    <w:name w:val="LO-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Notaderodap">
    <w:name w:val="Footnote Text"/>
    <w:basedOn w:val="Normal"/>
    <w:pPr>
      <w:suppressLineNumbers/>
      <w:ind w:left="340" w:right="0" w:hanging="340"/>
    </w:pPr>
    <w:rPr>
      <w:sz w:val="20"/>
      <w:szCs w:val="20"/>
    </w:rPr>
  </w:style>
  <w:style w:type="paragraph" w:styleId="LOnormal0">
    <w:name w:val="LO-normal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4"/>
      <w:szCs w:val="24"/>
      <w:lang w:val="pt-BR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camaraigrejinha.com.br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Application>LibreOffice/7.4.0.3$Windows_X86_64 LibreOffice_project/f85e47c08ddd19c015c0114a68350214f7066f5a</Application>
  <AppVersion>15.0000</AppVersion>
  <Pages>2</Pages>
  <Words>359</Words>
  <Characters>2056</Characters>
  <CharactersWithSpaces>2400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2025-01-09T13:04:00Z</dcterms:created>
  <dc:creator>A.F.A Advogado</dc:creator>
  <dc:description/>
  <dc:language>pt-BR</dc:language>
  <cp:lastModifiedBy/>
  <dcterms:modified xsi:type="dcterms:W3CDTF">2026-09-29T14:57:21Z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