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Arial" w:hAnsi="Arial" w:eastAsia="Calibri" w:cs="Calibri"/>
          <w:b/>
          <w:b/>
          <w:color w:val="000000"/>
          <w:sz w:val="24"/>
          <w:szCs w:val="24"/>
          <w:u w:val="single"/>
        </w:rPr>
      </w:pP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</w:r>
    </w:p>
    <w:p>
      <w:pPr>
        <w:pStyle w:val="Normal"/>
        <w:spacing w:lineRule="auto" w:line="240"/>
        <w:jc w:val="center"/>
        <w:rPr/>
      </w:pP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  <w:t xml:space="preserve">PARECER JURÍDICO N° </w:t>
      </w: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  <w:t>111</w:t>
      </w: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  <w:t>/2026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/>
      </w:pPr>
      <w:r>
        <w:rPr>
          <w:rFonts w:eastAsia="Calibri" w:cs="Arial" w:ascii="Arial" w:hAnsi="Arial"/>
          <w:b/>
          <w:color w:val="000000"/>
          <w:sz w:val="24"/>
          <w:szCs w:val="24"/>
        </w:rPr>
        <w:t>MATÉRIA: PR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 xml:space="preserve"> 00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>2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>/2026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>AUTORIA: Vereador</w:t>
      </w:r>
      <w:r>
        <w:rPr>
          <w:rFonts w:eastAsia="Calibri" w:cs="Arial" w:ascii="Arial" w:hAnsi="Arial"/>
          <w:b/>
          <w:sz w:val="24"/>
          <w:szCs w:val="24"/>
        </w:rPr>
        <w:t>es Neidi Roos e Eliton Freitag</w:t>
      </w:r>
    </w:p>
    <w:p>
      <w:pPr>
        <w:pStyle w:val="Normal"/>
        <w:widowControl w:val="false"/>
        <w:spacing w:lineRule="auto" w:line="240"/>
        <w:jc w:val="both"/>
        <w:rPr>
          <w:b w:val="false"/>
          <w:b w:val="false"/>
          <w:bCs w:val="false"/>
        </w:rPr>
      </w:pPr>
      <w:r>
        <w:rPr>
          <w:rFonts w:eastAsia="Calibri" w:cs="Arial" w:ascii="Arial" w:hAnsi="Arial"/>
          <w:b w:val="false"/>
          <w:bCs w:val="false"/>
          <w:i/>
          <w:iCs/>
          <w:color w:val="333333"/>
          <w:sz w:val="24"/>
          <w:szCs w:val="24"/>
          <w:shd w:fill="FFFFFF" w:val="clear"/>
        </w:rPr>
        <w:t>EMENTA:</w:t>
      </w:r>
      <w:r>
        <w:rPr>
          <w:rFonts w:cs="Arial" w:ascii="Arial" w:hAnsi="Arial"/>
          <w:b w:val="false"/>
          <w:bCs w:val="false"/>
          <w:sz w:val="24"/>
          <w:szCs w:val="24"/>
        </w:rPr>
        <w:t xml:space="preserve"> </w:t>
      </w:r>
      <w:r>
        <w:rPr>
          <w:rFonts w:eastAsia="Calibri" w:cs="Arial" w:ascii="Arial" w:hAnsi="Arial"/>
          <w:b w:val="false"/>
          <w:bCs w:val="false"/>
          <w:i/>
          <w:iCs/>
          <w:color w:val="333333"/>
          <w:sz w:val="22"/>
          <w:szCs w:val="22"/>
          <w:lang w:val="pt-BR"/>
        </w:rPr>
        <w:t xml:space="preserve"> "Altera dispositivos na Resolução 003/2025, de 05 de novembro de 2025</w:t>
      </w:r>
    </w:p>
    <w:p>
      <w:pPr>
        <w:pStyle w:val="Normal"/>
        <w:widowControl w:val="false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Calibri" w:cs="Calibri" w:ascii="Arial" w:hAnsi="Arial"/>
          <w:b w:val="false"/>
          <w:bCs w:val="false"/>
          <w:sz w:val="24"/>
          <w:szCs w:val="24"/>
          <w:lang w:val="de-DE"/>
        </w:rPr>
        <w:t>Protocolado em 1</w:t>
      </w:r>
      <w:r>
        <w:rPr>
          <w:rFonts w:eastAsia="Calibri" w:cs="Calibri" w:ascii="Arial" w:hAnsi="Arial"/>
          <w:b w:val="false"/>
          <w:bCs w:val="false"/>
          <w:sz w:val="24"/>
          <w:szCs w:val="24"/>
          <w:lang w:val="de-DE"/>
        </w:rPr>
        <w:t>7</w:t>
      </w:r>
      <w:r>
        <w:rPr>
          <w:rFonts w:eastAsia="Calibri" w:cs="Calibri" w:ascii="Arial" w:hAnsi="Arial"/>
          <w:b w:val="false"/>
          <w:bCs w:val="false"/>
          <w:sz w:val="24"/>
          <w:szCs w:val="24"/>
          <w:lang w:val="de-DE"/>
        </w:rPr>
        <w:t>/08/2026</w:t>
      </w:r>
    </w:p>
    <w:p>
      <w:pPr>
        <w:pStyle w:val="Normal"/>
        <w:widowControl w:val="false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Calibri" w:cs="Calibri" w:ascii="Arial" w:hAnsi="Arial"/>
          <w:b w:val="false"/>
          <w:bCs w:val="false"/>
          <w:sz w:val="24"/>
          <w:szCs w:val="24"/>
          <w:lang w:val="de-DE"/>
        </w:rPr>
        <w:t>Encaminhado à Comissão na 2</w:t>
      </w:r>
      <w:r>
        <w:rPr>
          <w:rFonts w:eastAsia="Calibri" w:cs="Calibri" w:ascii="Arial" w:hAnsi="Arial"/>
          <w:b w:val="false"/>
          <w:bCs w:val="false"/>
          <w:sz w:val="24"/>
          <w:szCs w:val="24"/>
          <w:lang w:val="de-DE"/>
        </w:rPr>
        <w:t>8</w:t>
      </w:r>
      <w:r>
        <w:rPr>
          <w:rFonts w:eastAsia="Calibri" w:cs="Calibri" w:ascii="Arial" w:hAnsi="Arial"/>
          <w:b w:val="false"/>
          <w:bCs w:val="false"/>
          <w:sz w:val="24"/>
          <w:szCs w:val="24"/>
          <w:lang w:val="de-DE"/>
        </w:rPr>
        <w:t xml:space="preserve">ª SO </w:t>
      </w:r>
    </w:p>
    <w:p>
      <w:pPr>
        <w:pStyle w:val="Normal"/>
        <w:widowControl w:val="false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Calibri" w:cs="Calibri" w:ascii="Arial" w:hAnsi="Arial"/>
          <w:b w:val="false"/>
          <w:bCs w:val="false"/>
          <w:color w:val="000000"/>
          <w:sz w:val="24"/>
          <w:szCs w:val="24"/>
          <w:lang w:val="de-DE"/>
        </w:rPr>
        <w:t>Rito normal.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 w:val="false"/>
          <w:b w:val="false"/>
          <w:bCs w:val="false"/>
          <w:sz w:val="24"/>
          <w:szCs w:val="24"/>
        </w:rPr>
      </w:pPr>
      <w:r>
        <w:rPr>
          <w:rFonts w:eastAsia="Calibri" w:cs="Calibri" w:ascii="Arial" w:hAnsi="Arial"/>
          <w:b w:val="false"/>
          <w:bCs w:val="false"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  <w:u w:val="single"/>
        </w:rPr>
      </w:pPr>
      <w:r>
        <w:rPr>
          <w:rFonts w:eastAsia="Calibri" w:cs="Calibri" w:ascii="Arial" w:hAnsi="Arial"/>
          <w:b/>
          <w:sz w:val="24"/>
          <w:szCs w:val="24"/>
          <w:u w:val="single"/>
        </w:rPr>
        <w:t>I – RELATÓRIO</w:t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  <w:u w:val="single"/>
        </w:rPr>
      </w:pPr>
      <w:r>
        <w:rPr>
          <w:rFonts w:eastAsia="Calibri" w:cs="Calibri" w:ascii="Arial" w:hAnsi="Arial"/>
          <w:b/>
          <w:sz w:val="24"/>
          <w:szCs w:val="24"/>
          <w:u w:val="single"/>
        </w:rPr>
      </w:r>
    </w:p>
    <w:p>
      <w:pPr>
        <w:pStyle w:val="LOnormal"/>
        <w:widowControl w:val="false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  <w:t xml:space="preserve">A mesa Diretora da Câmara de Vereadores de Igrejinha encaminhou, nesta data, para essa Procuradoria Jurídica pedido de análise e emissão de parecer jurídico de proposição de autoria de Vereador </w:t>
      </w:r>
    </w:p>
    <w:p>
      <w:pPr>
        <w:pStyle w:val="LOnormal"/>
        <w:widowControl w:val="false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  <w:t>É o sucinto relatório.</w:t>
      </w:r>
    </w:p>
    <w:p>
      <w:pPr>
        <w:pStyle w:val="LOnormal"/>
        <w:widowControl w:val="false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  <w:t>Passo à análise jurídica.</w:t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  <w:u w:val="single"/>
        </w:rPr>
      </w:pPr>
      <w:r>
        <w:rPr>
          <w:rFonts w:eastAsia="Calibri" w:cs="Calibri" w:ascii="Arial" w:hAnsi="Arial"/>
          <w:b/>
          <w:sz w:val="24"/>
          <w:szCs w:val="24"/>
          <w:u w:val="single"/>
        </w:rPr>
        <w:t>II – ANÁLISE JURÍDICA</w:t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  <w:t xml:space="preserve"> </w:t>
      </w:r>
    </w:p>
    <w:p>
      <w:pPr>
        <w:pStyle w:val="Normal"/>
        <w:widowControl w:val="false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  <w:t xml:space="preserve">Quanto ao rito processual, o projeto tramita sem regime de urgência. </w:t>
      </w:r>
    </w:p>
    <w:p>
      <w:pPr>
        <w:pStyle w:val="LOnormal"/>
        <w:widowControl w:val="false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</w:r>
    </w:p>
    <w:p>
      <w:pPr>
        <w:pStyle w:val="LOnormal"/>
        <w:spacing w:lineRule="auto" w:line="240"/>
        <w:rPr>
          <w:rFonts w:ascii="Arial" w:hAnsi="Arial" w:cs="Calibri"/>
          <w:b/>
          <w:b/>
          <w:sz w:val="24"/>
          <w:szCs w:val="24"/>
        </w:rPr>
      </w:pPr>
      <w:r>
        <w:rPr>
          <w:rFonts w:cs="Calibri" w:ascii="Arial" w:hAnsi="Arial"/>
          <w:b/>
          <w:sz w:val="24"/>
          <w:szCs w:val="24"/>
        </w:rPr>
        <w:t>Da Competência e iniciativa</w:t>
      </w:r>
    </w:p>
    <w:p>
      <w:pPr>
        <w:pStyle w:val="LOnormal"/>
        <w:spacing w:lineRule="auto" w:line="240"/>
        <w:rPr>
          <w:rFonts w:ascii="Arial" w:hAnsi="Arial" w:cs="Calibri"/>
          <w:b/>
          <w:b/>
          <w:sz w:val="24"/>
          <w:szCs w:val="24"/>
        </w:rPr>
      </w:pPr>
      <w:r>
        <w:rPr>
          <w:rFonts w:cs="Calibri" w:ascii="Arial" w:hAnsi="Arial"/>
          <w:b/>
          <w:sz w:val="24"/>
          <w:szCs w:val="24"/>
        </w:rPr>
      </w:r>
    </w:p>
    <w:p>
      <w:pPr>
        <w:pStyle w:val="LOnormal"/>
        <w:spacing w:lineRule="auto" w:line="240"/>
        <w:ind w:left="0" w:right="0" w:firstLine="851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 xml:space="preserve">Em primeiro momento analisamos a competência quanto a esfera de poder (União, Estado, Município) para proposição do referido Projeto de Lei e, portanto, cumpre dizer que este Projeto tem a utilização legítima da competência legislativa disposta para os Municípios no inciso I, do art. 30, da CF/88, como segue: </w:t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i/>
          <w:i/>
          <w:sz w:val="24"/>
          <w:szCs w:val="24"/>
        </w:rPr>
      </w:pPr>
      <w:r>
        <w:rPr>
          <w:rFonts w:cs="Calibri" w:ascii="Arial" w:hAnsi="Arial"/>
          <w:i/>
          <w:sz w:val="24"/>
          <w:szCs w:val="24"/>
        </w:rPr>
        <w:t>“</w:t>
      </w:r>
      <w:r>
        <w:rPr>
          <w:rFonts w:cs="Calibri" w:ascii="Arial" w:hAnsi="Arial"/>
          <w:i/>
          <w:sz w:val="24"/>
          <w:szCs w:val="24"/>
        </w:rPr>
        <w:t>Art. 30. Compete aos Municípios:</w:t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i/>
          <w:i/>
          <w:sz w:val="24"/>
          <w:szCs w:val="24"/>
        </w:rPr>
      </w:pPr>
      <w:r>
        <w:rPr>
          <w:rFonts w:cs="Calibri" w:ascii="Arial" w:hAnsi="Arial"/>
          <w:i/>
          <w:sz w:val="24"/>
          <w:szCs w:val="24"/>
        </w:rPr>
        <w:t>I - legislar sobre assuntos de interesse local; [...]</w:t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i/>
          <w:i/>
          <w:sz w:val="24"/>
          <w:szCs w:val="24"/>
        </w:rPr>
      </w:pPr>
      <w:r>
        <w:rPr>
          <w:rFonts w:cs="Calibri" w:ascii="Arial" w:hAnsi="Arial"/>
          <w:i/>
          <w:sz w:val="24"/>
          <w:szCs w:val="24"/>
        </w:rPr>
      </w:r>
    </w:p>
    <w:p>
      <w:pPr>
        <w:pStyle w:val="LOnormal"/>
        <w:spacing w:lineRule="auto" w:line="240"/>
        <w:ind w:left="0" w:right="0" w:firstLine="851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 xml:space="preserve">Também verificamos que os Vereadores fazem uso da prerrogativa a eles reconhecida pela Lei Orgânica de Igrejinha para iniciar o processo legislativo, de modo que, nada há quanto a este requisito que possa macular a constitucionalidade do respectivo projeto de lei.  </w:t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</w:r>
    </w:p>
    <w:p>
      <w:pPr>
        <w:pStyle w:val="LOnormal"/>
        <w:spacing w:lineRule="auto" w:line="240"/>
        <w:ind w:left="0" w:right="0" w:firstLine="851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 xml:space="preserve">Quanto ao objeto, o projeto visa alterar a denominação do prêmio </w:t>
      </w:r>
      <w:r>
        <w:rPr>
          <w:rFonts w:cs="Calibri" w:ascii="Arial" w:hAnsi="Arial"/>
          <w:sz w:val="24"/>
          <w:szCs w:val="24"/>
        </w:rPr>
        <w:t xml:space="preserve">que visa reconhecer o Empreendedorismo feminino, </w:t>
      </w:r>
      <w:r>
        <w:rPr>
          <w:rFonts w:cs="Calibri" w:ascii="Arial" w:hAnsi="Arial"/>
          <w:sz w:val="24"/>
          <w:szCs w:val="24"/>
        </w:rPr>
        <w:t xml:space="preserve">homenageando </w:t>
      </w:r>
      <w:r>
        <w:rPr>
          <w:rFonts w:cs="Calibri" w:ascii="Arial" w:hAnsi="Arial"/>
          <w:sz w:val="24"/>
          <w:szCs w:val="24"/>
        </w:rPr>
        <w:t>a</w:t>
      </w:r>
      <w:r>
        <w:rPr>
          <w:rFonts w:cs="Calibri" w:ascii="Arial" w:hAnsi="Arial"/>
          <w:sz w:val="24"/>
          <w:szCs w:val="24"/>
        </w:rPr>
        <w:t xml:space="preserve"> cidadã </w:t>
      </w:r>
      <w:r>
        <w:rPr>
          <w:rFonts w:cs="Calibri" w:ascii="Arial" w:hAnsi="Arial"/>
          <w:sz w:val="24"/>
          <w:szCs w:val="24"/>
        </w:rPr>
        <w:t xml:space="preserve">Marlene Wilbert </w:t>
      </w:r>
      <w:r>
        <w:rPr>
          <w:rFonts w:cs="Calibri" w:ascii="Arial" w:hAnsi="Arial"/>
          <w:sz w:val="24"/>
          <w:szCs w:val="24"/>
        </w:rPr>
        <w:t xml:space="preserve"> que foi </w:t>
      </w:r>
      <w:r>
        <w:rPr>
          <w:rFonts w:cs="Calibri" w:ascii="Arial" w:hAnsi="Arial"/>
          <w:sz w:val="24"/>
          <w:szCs w:val="24"/>
        </w:rPr>
        <w:t xml:space="preserve">destaque no município e teve a vida abreviada tragicamente. </w:t>
      </w:r>
      <w:r>
        <w:rPr>
          <w:rFonts w:cs="Calibri" w:ascii="Arial" w:hAnsi="Arial"/>
          <w:sz w:val="24"/>
          <w:szCs w:val="24"/>
        </w:rPr>
        <w:t>O projeto está acompanhado da biografia do homenageado, e o óbito do homenageado de fato, ocorreu há mais de um ano.</w:t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b/>
          <w:b/>
          <w:sz w:val="24"/>
          <w:szCs w:val="24"/>
          <w:u w:val="single"/>
        </w:rPr>
      </w:pPr>
      <w:r>
        <w:rPr>
          <w:rFonts w:cs="Calibri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b/>
          <w:b/>
          <w:sz w:val="24"/>
          <w:szCs w:val="24"/>
          <w:u w:val="single"/>
        </w:rPr>
      </w:pPr>
      <w:r>
        <w:rPr>
          <w:rFonts w:cs="Calibri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b/>
          <w:b/>
          <w:sz w:val="24"/>
          <w:szCs w:val="24"/>
          <w:u w:val="single"/>
        </w:rPr>
      </w:pPr>
      <w:r>
        <w:rPr>
          <w:rFonts w:cs="Calibri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b/>
          <w:b/>
          <w:sz w:val="24"/>
          <w:szCs w:val="24"/>
          <w:u w:val="single"/>
        </w:rPr>
      </w:pPr>
      <w:r>
        <w:rPr>
          <w:rFonts w:cs="Calibri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rPr/>
      </w:pPr>
      <w:r>
        <w:rPr>
          <w:rFonts w:cs="Calibri" w:ascii="Arial" w:hAnsi="Arial"/>
          <w:b/>
          <w:sz w:val="24"/>
          <w:szCs w:val="24"/>
          <w:u w:val="single"/>
        </w:rPr>
        <w:t>III – CONCLUSÃO</w:t>
      </w:r>
      <w:r>
        <w:rPr>
          <w:rFonts w:cs="Calibri" w:ascii="Arial" w:hAnsi="Arial"/>
          <w:b/>
          <w:sz w:val="24"/>
          <w:szCs w:val="24"/>
        </w:rPr>
        <w:t xml:space="preserve"> </w:t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i/>
          <w:i/>
          <w:sz w:val="24"/>
          <w:szCs w:val="24"/>
        </w:rPr>
      </w:pPr>
      <w:r>
        <w:rPr>
          <w:rFonts w:cs="Calibri" w:ascii="Arial" w:hAnsi="Arial"/>
          <w:i/>
          <w:sz w:val="24"/>
          <w:szCs w:val="24"/>
        </w:rPr>
      </w:r>
    </w:p>
    <w:p>
      <w:pPr>
        <w:pStyle w:val="LOnormal"/>
        <w:spacing w:lineRule="auto" w:line="240"/>
        <w:ind w:left="0" w:right="0" w:firstLine="851"/>
        <w:jc w:val="both"/>
        <w:rPr/>
      </w:pPr>
      <w:r>
        <w:rPr>
          <w:rFonts w:cs="Calibri" w:ascii="Arial" w:hAnsi="Arial"/>
          <w:sz w:val="24"/>
          <w:szCs w:val="24"/>
        </w:rPr>
        <w:t xml:space="preserve">Assim sendo, esta Assessoria Jurídica opina pela </w:t>
      </w:r>
      <w:r>
        <w:rPr>
          <w:rFonts w:cs="Calibri" w:ascii="Arial" w:hAnsi="Arial"/>
          <w:b/>
          <w:i/>
          <w:sz w:val="24"/>
          <w:szCs w:val="24"/>
        </w:rPr>
        <w:t xml:space="preserve">legalidade </w:t>
      </w:r>
      <w:r>
        <w:rPr>
          <w:rFonts w:cs="Calibri" w:ascii="Arial" w:hAnsi="Arial"/>
          <w:sz w:val="24"/>
          <w:szCs w:val="24"/>
        </w:rPr>
        <w:t>e</w:t>
      </w:r>
      <w:r>
        <w:rPr>
          <w:rFonts w:cs="Calibri" w:ascii="Arial" w:hAnsi="Arial"/>
          <w:b/>
          <w:i/>
          <w:sz w:val="24"/>
          <w:szCs w:val="24"/>
        </w:rPr>
        <w:t xml:space="preserve"> constitucionalidade</w:t>
      </w:r>
      <w:r>
        <w:rPr>
          <w:rFonts w:cs="Calibri" w:ascii="Arial" w:hAnsi="Arial"/>
          <w:i/>
          <w:sz w:val="24"/>
          <w:szCs w:val="24"/>
        </w:rPr>
        <w:t xml:space="preserve"> </w:t>
      </w:r>
      <w:r>
        <w:rPr>
          <w:rFonts w:cs="Calibri" w:ascii="Arial" w:hAnsi="Arial"/>
          <w:sz w:val="24"/>
          <w:szCs w:val="24"/>
        </w:rPr>
        <w:t>do referido Projeto de Lei, tendo em vista que não se observou qualquer vício em sua redação.</w:t>
      </w:r>
    </w:p>
    <w:p>
      <w:pPr>
        <w:pStyle w:val="LOnormal"/>
        <w:spacing w:lineRule="auto" w:line="240"/>
        <w:ind w:left="0" w:right="0" w:firstLine="851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</w:r>
    </w:p>
    <w:p>
      <w:pPr>
        <w:pStyle w:val="LOnormal"/>
        <w:spacing w:lineRule="auto" w:line="240"/>
        <w:ind w:left="0" w:right="0" w:firstLine="851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>No que diz respeito ao mérito, a Procuradoria Jurídica não irá se pronunciar, pois caberá aos vereadores, no uso da função legislativa, verificar a viabilidade da aprovação, respeitando-se para tanto, as formalidades legais e regimentais.</w:t>
      </w:r>
    </w:p>
    <w:p>
      <w:pPr>
        <w:pStyle w:val="LO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LOnormal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  <w:t>Este é o parecer.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eastAsia="Calibri" w:cs="Arial" w:ascii="Arial" w:hAnsi="Arial"/>
          <w:sz w:val="24"/>
          <w:szCs w:val="24"/>
        </w:rPr>
        <w:t>Igrejinha, 2</w:t>
      </w:r>
      <w:r>
        <w:rPr>
          <w:rFonts w:eastAsia="Calibri" w:cs="Arial" w:ascii="Arial" w:hAnsi="Arial"/>
          <w:sz w:val="24"/>
          <w:szCs w:val="24"/>
        </w:rPr>
        <w:t>4</w:t>
      </w:r>
      <w:r>
        <w:rPr>
          <w:rFonts w:eastAsia="Calibri" w:cs="Arial" w:ascii="Arial" w:hAnsi="Arial"/>
          <w:sz w:val="24"/>
          <w:szCs w:val="24"/>
        </w:rPr>
        <w:t xml:space="preserve"> de </w:t>
      </w:r>
      <w:r>
        <w:rPr>
          <w:rFonts w:eastAsia="Calibri" w:cs="Arial" w:ascii="Arial" w:hAnsi="Arial"/>
          <w:sz w:val="24"/>
          <w:szCs w:val="24"/>
        </w:rPr>
        <w:t>setembro</w:t>
      </w:r>
      <w:r>
        <w:rPr>
          <w:rFonts w:eastAsia="Calibri" w:cs="Arial" w:ascii="Arial" w:hAnsi="Arial"/>
          <w:sz w:val="24"/>
          <w:szCs w:val="24"/>
        </w:rPr>
        <w:t xml:space="preserve"> de 2026.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 xml:space="preserve">Anderson Fidelis de Araujo 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  <w:t>Assessor Jurídico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OAB/RS 58.063.</w:t>
      </w:r>
    </w:p>
    <w:p>
      <w:pPr>
        <w:pStyle w:val="Normal"/>
        <w:spacing w:lineRule="auto" w:line="240"/>
        <w:ind w:left="0" w:right="0" w:firstLine="850"/>
        <w:jc w:val="both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963" w:gutter="0" w:header="708" w:top="2095" w:footer="708" w:bottom="12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right" w:pos="10080" w:leader="none"/>
      </w:tabs>
      <w:ind w:left="-1260" w:right="-1242" w:hanging="0"/>
      <w:jc w:val="center"/>
      <w:rPr>
        <w:rFonts w:ascii="Arial" w:hAnsi="Arial" w:eastAsia="Arial" w:cs="Arial"/>
        <w:color w:val="000000"/>
        <w:sz w:val="16"/>
        <w:szCs w:val="16"/>
      </w:rPr>
    </w:pPr>
    <w:r>
      <w:rPr>
        <w:rFonts w:eastAsia="Arial" w:cs="Arial" w:ascii="Arial" w:hAnsi="Arial"/>
        <w:color w:val="000000"/>
        <w:sz w:val="16"/>
        <w:szCs w:val="16"/>
      </w:rPr>
      <w:t xml:space="preserve"> “</w:t>
    </w:r>
    <w:r>
      <w:rPr>
        <w:rFonts w:eastAsia="Arial" w:cs="Arial" w:ascii="Arial" w:hAnsi="Arial"/>
        <w:color w:val="000000"/>
        <w:sz w:val="16"/>
        <w:szCs w:val="16"/>
      </w:rPr>
      <w:t>Doe vida: doe sangue, doe órgãos.”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/>
    </w:pPr>
    <w:hyperlink r:id="rId1">
      <w:r>
        <w:rPr>
          <w:rStyle w:val="LinkdaInternet"/>
          <w:rFonts w:eastAsia="Arial" w:cs="Arial" w:ascii="Arial" w:hAnsi="Arial"/>
          <w:b/>
          <w:color w:val="0000FF"/>
          <w:sz w:val="16"/>
          <w:szCs w:val="16"/>
          <w:u w:val="single"/>
        </w:rPr>
        <w:t>www.camaraigrejinha.com.br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-1843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drawing>
        <wp:anchor behindDoc="1" distT="114300" distB="114300" distL="114300" distR="114300" simplePos="0" locked="0" layoutInCell="0" allowOverlap="1" relativeHeight="3">
          <wp:simplePos x="0" y="0"/>
          <wp:positionH relativeFrom="column">
            <wp:posOffset>66675</wp:posOffset>
          </wp:positionH>
          <wp:positionV relativeFrom="paragraph">
            <wp:posOffset>-40005</wp:posOffset>
          </wp:positionV>
          <wp:extent cx="573405" cy="543560"/>
          <wp:effectExtent l="0" t="0" r="0" b="0"/>
          <wp:wrapTopAndBottom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43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DO RIO GRANDE DO SUL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CÂMARA MUNICIPAL DE IGREJINHA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Rua Tiradentes, 115, Centro – CEP 95650-000 – Igrejinha RS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Fone/Fax: (51) 3545.1644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8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>
    <w:name w:val="Default Paragraph Font"/>
    <w:qFormat/>
    <w:rPr/>
  </w:style>
  <w:style w:type="character" w:styleId="LinkdaInternet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Caracteresdenotaderodap">
    <w:name w:val="Caracteres de nota de rodapé"/>
    <w:qFormat/>
    <w:rPr/>
  </w:style>
  <w:style w:type="character" w:styleId="Ncoradanotaderodap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LOnormal">
    <w:name w:val="LO-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Notaderodap">
    <w:name w:val="Footnote Text"/>
    <w:basedOn w:val="Normal"/>
    <w:pPr>
      <w:suppressLineNumbers/>
      <w:ind w:left="340" w:right="0" w:hanging="340"/>
    </w:pPr>
    <w:rPr>
      <w:sz w:val="20"/>
      <w:szCs w:val="20"/>
    </w:rPr>
  </w:style>
  <w:style w:type="paragraph" w:styleId="LOnormal0">
    <w:name w:val="LO-normal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amaraigrejinha.com.br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Application>LibreOffice/7.4.0.3$Windows_X86_64 LibreOffice_project/f85e47c08ddd19c015c0114a68350214f7066f5a</Application>
  <AppVersion>15.0000</AppVersion>
  <Pages>2</Pages>
  <Words>363</Words>
  <Characters>2006</Characters>
  <CharactersWithSpaces>2353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2025-01-09T13:04:00Z</dcterms:created>
  <dc:creator>A.F.A Advogado</dc:creator>
  <dc:description/>
  <dc:language>pt-BR</dc:language>
  <cp:lastModifiedBy/>
  <cp:lastPrinted>2026-08-25T16:47:08Z</cp:lastPrinted>
  <dcterms:modified xsi:type="dcterms:W3CDTF">2026-09-29T15:29:14Z</dcterms:modified>
  <cp:revision>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