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jc w:val="center"/>
        <w:rPr>
          <w:rFonts w:ascii="Calibri" w:hAnsi="Calibri" w:eastAsia="Calibri" w:cs="Calibri" w:asciiTheme="majorHAnsi" w:cstheme="majorHAnsi" w:hAnsiTheme="majorHAnsi"/>
          <w:b/>
          <w:b/>
          <w:color w:val="000000"/>
          <w:sz w:val="28"/>
          <w:szCs w:val="28"/>
          <w:u w:val="single"/>
        </w:rPr>
      </w:pPr>
      <w:r>
        <w:rPr>
          <w:rFonts w:eastAsia="Calibri" w:cs="Calibri" w:ascii="Calibri" w:hAnsi="Calibri" w:asciiTheme="majorHAnsi" w:cstheme="majorHAnsi" w:hAnsiTheme="majorHAnsi"/>
          <w:b/>
          <w:color w:val="000000"/>
          <w:sz w:val="28"/>
          <w:szCs w:val="28"/>
          <w:u w:val="single"/>
        </w:rPr>
        <w:t>PARECER JURÍDICO N° 112/2026</w:t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  <w:b/>
          <w:b/>
        </w:rPr>
      </w:pPr>
      <w:r>
        <w:rPr>
          <w:rFonts w:eastAsia="Calibri" w:cs="Calibri" w:cstheme="majorHAnsi" w:ascii="Calibri" w:hAnsi="Calibri"/>
          <w:b/>
        </w:rPr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  <w:b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MATÉRIA: </w:t>
      </w:r>
      <w:r>
        <w:rPr>
          <w:rFonts w:eastAsia="Calibri" w:cs="Calibri" w:ascii="Calibri" w:hAnsi="Calibri" w:asciiTheme="majorHAnsi" w:cstheme="majorHAnsi" w:hAnsiTheme="majorHAnsi"/>
          <w:b/>
          <w:color w:val="000000"/>
        </w:rPr>
        <w:t>Projeto de Emenda à Lei Orgânica nº 002/2026</w:t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</w:rPr>
      </w:pPr>
      <w:r>
        <w:rPr>
          <w:rFonts w:eastAsia="Calibri" w:cs="Calibri" w:ascii="Calibri" w:hAnsi="Calibri" w:asciiTheme="majorHAnsi" w:cstheme="majorHAnsi" w:hAnsiTheme="majorHAnsi"/>
          <w:b/>
        </w:rPr>
        <w:t>AUTORIA: Legisltivo;</w:t>
      </w:r>
    </w:p>
    <w:p>
      <w:pPr>
        <w:pStyle w:val="Normal"/>
        <w:jc w:val="both"/>
        <w:rPr>
          <w:rFonts w:ascii="Calibri" w:hAnsi="Calibri" w:cs="Calibri" w:asciiTheme="majorHAnsi" w:cstheme="majorHAnsi" w:hAnsiTheme="majorHAnsi"/>
          <w:lang w:val="de-DE"/>
        </w:rPr>
      </w:pPr>
      <w:r>
        <w:rPr>
          <w:rFonts w:eastAsia="Calibri" w:ascii="Arial" w:hAnsi="Arial"/>
          <w:b/>
          <w:bCs/>
          <w:i/>
          <w:iCs/>
          <w:color w:val="333333"/>
          <w:highlight w:val="white"/>
        </w:rPr>
        <w:t xml:space="preserve">EMENTA: </w:t>
      </w:r>
      <w:r>
        <w:rPr>
          <w:rFonts w:eastAsia="Calibri" w:ascii="Arial" w:hAnsi="Arial"/>
          <w:b w:val="false"/>
          <w:bCs w:val="false"/>
          <w:i w:val="false"/>
          <w:iCs w:val="false"/>
          <w:color w:val="333333"/>
          <w:highlight w:val="white"/>
        </w:rPr>
        <w:t>Que altera os artigos da Lei Orgânica Municipal que especifica</w:t>
      </w:r>
      <w:r>
        <w:rPr>
          <w:rFonts w:eastAsia="Calibri" w:ascii="Arial" w:hAnsi="Arial"/>
          <w:b w:val="false"/>
          <w:bCs w:val="false"/>
          <w:i w:val="false"/>
          <w:iCs w:val="false"/>
          <w:color w:val="333333"/>
        </w:rPr>
        <w:t>:</w:t>
      </w:r>
      <w:r>
        <w:rPr>
          <w:b w:val="false"/>
          <w:bCs w:val="false"/>
          <w:i w:val="false"/>
          <w:iCs w:val="false"/>
        </w:rPr>
        <w:t xml:space="preserve"> </w:t>
      </w:r>
    </w:p>
    <w:p>
      <w:pPr>
        <w:pStyle w:val="Normal"/>
        <w:jc w:val="both"/>
        <w:rPr>
          <w:rFonts w:ascii="Calibri" w:hAnsi="Calibri" w:eastAsia="Calibri" w:cs="Calibri" w:asciiTheme="majorHAnsi" w:cstheme="majorHAnsi" w:hAnsiTheme="majorHAnsi"/>
          <w:lang w:val="de-DE"/>
        </w:rPr>
      </w:pP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Protocolado em 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19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/0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9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/2026 - Encaminhado à Comissão na 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>32</w:t>
      </w:r>
      <w:r>
        <w:rPr>
          <w:rFonts w:eastAsia="Calibri" w:cs="Calibri" w:ascii="Calibri" w:hAnsi="Calibri" w:asciiTheme="majorHAnsi" w:cstheme="majorHAnsi" w:hAnsiTheme="majorHAnsi"/>
          <w:lang w:val="de-DE"/>
        </w:rPr>
        <w:t xml:space="preserve">º SO   </w:t>
      </w:r>
    </w:p>
    <w:p>
      <w:pPr>
        <w:pStyle w:val="Normal"/>
        <w:jc w:val="both"/>
        <w:rPr>
          <w:rFonts w:ascii="Calibri" w:hAnsi="Calibri" w:eastAsia="Calibri" w:cs="Calibri" w:asciiTheme="majorHAnsi" w:cstheme="majorHAnsi" w:hAnsiTheme="majorHAnsi"/>
          <w:lang w:val="de-DE"/>
        </w:rPr>
      </w:pPr>
      <w:r>
        <w:rPr>
          <w:rFonts w:eastAsia="Calibri" w:cs="Calibri" w:ascii="Calibri" w:hAnsi="Calibri" w:asciiTheme="majorHAnsi" w:cstheme="majorHAnsi" w:hAnsiTheme="majorHAnsi"/>
          <w:lang w:val="de-DE"/>
        </w:rPr>
        <w:t>Rito Especial.</w:t>
      </w:r>
    </w:p>
    <w:p>
      <w:pPr>
        <w:pStyle w:val="Normal"/>
        <w:jc w:val="both"/>
        <w:rPr>
          <w:rFonts w:ascii="Calibri" w:hAnsi="Calibri" w:eastAsia="Calibri" w:cs="Calibri" w:asciiTheme="majorHAnsi" w:cstheme="majorHAnsi" w:hAnsiTheme="majorHAnsi"/>
          <w:b/>
          <w:b/>
        </w:rPr>
      </w:pPr>
      <w:r>
        <w:rPr>
          <w:rFonts w:eastAsia="Calibri" w:cs="Calibri" w:cstheme="majorHAnsi" w:ascii="Calibri" w:hAnsi="Calibri"/>
          <w:b/>
        </w:rPr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  <w:u w:val="single"/>
        </w:rPr>
      </w:pPr>
      <w:r>
        <w:rPr>
          <w:rFonts w:eastAsia="Calibri" w:cs="Calibri" w:ascii="Calibri" w:hAnsi="Calibri"/>
          <w:b/>
          <w:u w:val="single"/>
        </w:rPr>
        <w:t>I – RELATÓRIO</w:t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  <w:u w:val="single"/>
        </w:rPr>
      </w:pPr>
      <w:r>
        <w:rPr>
          <w:rFonts w:eastAsia="Calibri" w:cs="Calibri" w:ascii="Calibri" w:hAnsi="Calibri"/>
          <w:b/>
          <w:u w:val="single"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A mesa Diretora da Câmara de Vereadores de Igrejinha encaminhou, nesta data, para essa Procuradoria Jurídica pedido de análise e emissão de parecer jurídico de proposição de autoria dos vereadores para emenda à Lei Orgânica Municipal.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É o sucinto relatório.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Passo à análise jurídica.</w:t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  <w:u w:val="single"/>
        </w:rPr>
      </w:pPr>
      <w:r>
        <w:rPr>
          <w:rFonts w:eastAsia="Calibri" w:cs="Calibri" w:ascii="Calibri" w:hAnsi="Calibri"/>
          <w:b/>
          <w:u w:val="single"/>
        </w:rPr>
        <w:t>II – ANÁLISE JURÍDICA</w:t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 xml:space="preserve"> </w:t>
      </w:r>
    </w:p>
    <w:p>
      <w:pPr>
        <w:pStyle w:val="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Quanto ao rito processual, o projeto segue rito especial.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>Da Competência e iniciativa</w:t>
      </w:r>
    </w:p>
    <w:p>
      <w:pPr>
        <w:pStyle w:val="LOnormal"/>
        <w:widowControl w:val="false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shd w:val="clear" w:color="auto" w:fill="FFFFFF"/>
        <w:ind w:left="851" w:hanging="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  <w:t>“</w:t>
      </w:r>
      <w:r>
        <w:rPr>
          <w:rFonts w:eastAsia="Calibri" w:cs="Calibri" w:ascii="Calibri" w:hAnsi="Calibri"/>
          <w:i/>
        </w:rPr>
        <w:t>Art. 30. Compete aos Municípios:</w:t>
      </w:r>
    </w:p>
    <w:p>
      <w:pPr>
        <w:pStyle w:val="LOnormal"/>
        <w:shd w:val="clear" w:color="auto" w:fill="FFFFFF"/>
        <w:ind w:left="851" w:hanging="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  <w:t>I - legislar sobre assuntos de interesse local; [...]</w:t>
      </w:r>
    </w:p>
    <w:p>
      <w:pPr>
        <w:pStyle w:val="LOnormal"/>
        <w:shd w:val="clear" w:color="auto" w:fill="FFFFFF"/>
        <w:ind w:left="2267" w:firstLine="360"/>
        <w:jc w:val="both"/>
        <w:rPr>
          <w:rFonts w:ascii="Calibri" w:hAnsi="Calibri" w:eastAsia="Calibri" w:cs="Calibri"/>
          <w:i/>
          <w:i/>
        </w:rPr>
      </w:pPr>
      <w:r>
        <w:rPr>
          <w:rFonts w:eastAsia="Calibri" w:cs="Calibri" w:ascii="Calibri" w:hAnsi="Calibri"/>
          <w:i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Ademais, a Lei Orgânica do Município de Igrejinha regulamentou no artigo 42 o procedimento de Emenda, prevendo a possibilidade da iniciativa partir do Prefeito no tocante à matéria.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widowControl w:val="false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  <w:t xml:space="preserve">Art. 42. A Lei Orgânica pode ser emendada mediante proposta: </w:t>
      </w:r>
    </w:p>
    <w:p>
      <w:pPr>
        <w:pStyle w:val="LOnormal"/>
        <w:widowControl w:val="false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  <w:t xml:space="preserve">I - de Vereadores; </w:t>
      </w:r>
    </w:p>
    <w:p>
      <w:pPr>
        <w:pStyle w:val="LOnormal"/>
        <w:widowControl w:val="false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  <w:t xml:space="preserve">II - do Prefeito; </w:t>
      </w:r>
    </w:p>
    <w:p>
      <w:pPr>
        <w:pStyle w:val="LOnormal"/>
        <w:widowControl w:val="false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  <w:t xml:space="preserve">III - de eleitores do Município. </w:t>
      </w:r>
    </w:p>
    <w:p>
      <w:pPr>
        <w:pStyle w:val="LOnormal"/>
        <w:widowControl w:val="false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  <w:t xml:space="preserve">§ 1º No caso do item I, a proposta deve ser subscrita, no mínimo, por 1/3 (um terço) dos membros da Câmara de Vereadores. </w:t>
      </w:r>
    </w:p>
    <w:p>
      <w:pPr>
        <w:pStyle w:val="LOnormal"/>
        <w:widowControl w:val="false"/>
        <w:ind w:left="851" w:hanging="1"/>
        <w:jc w:val="both"/>
        <w:rPr>
          <w:i/>
          <w:i/>
          <w:iCs/>
        </w:rPr>
      </w:pPr>
      <w:r>
        <w:rPr>
          <w:rFonts w:eastAsia="Calibri" w:cs="Calibri" w:ascii="Calibri" w:hAnsi="Calibri"/>
          <w:i/>
          <w:iCs/>
        </w:rPr>
        <w:t>§ 2º No caso do item III, a proposta deve ser subscrita, no mínimo, por 5% (cinco por cento) dos eleitores do Município.</w:t>
      </w:r>
    </w:p>
    <w:p>
      <w:pPr>
        <w:pStyle w:val="LOnormal"/>
        <w:ind w:left="851" w:hanging="1"/>
        <w:jc w:val="both"/>
        <w:rPr>
          <w:rFonts w:ascii="Calibri" w:hAnsi="Calibri" w:eastAsia="Calibri" w:cs="Calibri"/>
          <w:i/>
          <w:i/>
          <w:iCs/>
        </w:rPr>
      </w:pPr>
      <w:r>
        <w:rPr>
          <w:rFonts w:eastAsia="Calibri" w:cs="Calibri" w:ascii="Calibri" w:hAnsi="Calibri"/>
          <w:i/>
          <w:iCs/>
        </w:rPr>
      </w:r>
    </w:p>
    <w:p>
      <w:pPr>
        <w:pStyle w:val="LOnormal"/>
        <w:ind w:left="2267" w:hanging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ascii="Calibri" w:hAnsi="Calibri" w:asciiTheme="majorHAnsi" w:cstheme="majorHAnsi" w:hAnsiTheme="majorHAnsi"/>
          <w:bCs/>
        </w:rPr>
        <w:t xml:space="preserve">O rito processual dos projetos de Emenda à Lei Orgânica está previsto ainda no art. 142 do Regimento Interno, sendo divulgado o projeto no site do Legislativo, designada Comissão Especial, designado relator e decorrido o prazo de apresentação de emendas.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ascii="Calibri" w:hAnsi="Calibri" w:asciiTheme="majorHAnsi" w:cstheme="majorHAnsi" w:hAnsiTheme="majorHAnsi"/>
          <w:bCs/>
        </w:rPr>
        <w:t>O rito foi seguido conforme estabelecido no regimento, sendo realizada audiência pública e observados os prazos legais. Dessa forma, o projeto está apto à emissão de parecer e votação em plenário.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Normal"/>
        <w:spacing w:before="16" w:after="0"/>
        <w:ind w:left="56" w:right="56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1134" w:leader="none"/>
        </w:tabs>
        <w:ind w:left="851" w:right="56" w:hanging="0"/>
        <w:jc w:val="center"/>
        <w:rPr>
          <w:b/>
          <w:b/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Seção II - Da Proposta de Emenda à Lei Orgânica Municipal</w:t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 w:before="0" w:after="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Art. 142. </w:t>
      </w:r>
      <w:r>
        <w:rPr>
          <w:i/>
          <w:iCs/>
          <w:sz w:val="20"/>
          <w:szCs w:val="20"/>
        </w:rPr>
        <w:t>Recebida e protocolada a proposta de emenda à Lei Orgânica Municipal, o Presidente da Câmara determinará a sua publicação e divulgação, inclusive por meios eletrônicos, pelo prazo de vinte e quatro horas.</w:t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 w:before="0" w:after="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§ 1º </w:t>
      </w:r>
      <w:r>
        <w:rPr>
          <w:i/>
          <w:iCs/>
          <w:sz w:val="20"/>
          <w:szCs w:val="20"/>
        </w:rPr>
        <w:t>A tramitação da proposta de Emenda à Lei Orgânica Municipal será formalizada de acordo com o seguinte rito especial:</w:t>
      </w:r>
    </w:p>
    <w:p>
      <w:pPr>
        <w:pStyle w:val="ListParagraph"/>
        <w:widowControl w:val="false"/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283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>Realizada a divulgação de que trata o caput deste artigo, a proposta de emenda à Lei Orgânica Municipal, com sua justificativa, será comunicada e disponibilizada aos Vereadores, por meio eletrônico, na Sessão Plenária Ordinária subsequente;</w:t>
      </w:r>
    </w:p>
    <w:p>
      <w:pPr>
        <w:pStyle w:val="ListParagraph"/>
        <w:widowControl w:val="false"/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346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>Comunicada em Sessão Plenária, a proposta será examinada e instruída por Comissão Especial constituída exclusivamente para esta finalidade, mediante a observação dos seguintes procedimentos:</w:t>
      </w:r>
    </w:p>
    <w:p>
      <w:pPr>
        <w:pStyle w:val="ListParagraph"/>
        <w:widowControl w:val="false"/>
        <w:numPr>
          <w:ilvl w:val="1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568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designação, pelo Presidente da Comissão Especial, de um dos Vereadores titulares para exercer a relatoria;</w:t>
      </w:r>
    </w:p>
    <w:p>
      <w:pPr>
        <w:pStyle w:val="ListParagraph"/>
        <w:widowControl w:val="false"/>
        <w:numPr>
          <w:ilvl w:val="1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628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se a proposta propuser alteração de conteúdo da Lei Orgânica do Município que não decorra de Emenda à Constituição Federal ou decisão judicial, a Comissão deverá fazer audiência pública para debater a matéria com a comunidade;</w:t>
      </w:r>
    </w:p>
    <w:p>
      <w:pPr>
        <w:pStyle w:val="ListParagraph"/>
        <w:widowControl w:val="false"/>
        <w:numPr>
          <w:ilvl w:val="1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553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os Vereadores poderão apresentar emenda à proposta de emenda à Lei Orgânica Municipal, na Comissão Especial, antes da votação do voto do Relator, desde que subscrita por um terço dos membros da Câmara;</w:t>
      </w:r>
    </w:p>
    <w:p>
      <w:pPr>
        <w:pStyle w:val="ListParagraph"/>
        <w:widowControl w:val="false"/>
        <w:numPr>
          <w:ilvl w:val="1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574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 Relator, no seu voto, analisará a forma e o conteúdo da proposta de emenda à Lei Orgânica Municipal, bem como das emendas apresentadas;</w:t>
      </w:r>
    </w:p>
    <w:p>
      <w:pPr>
        <w:pStyle w:val="ListParagraph"/>
        <w:widowControl w:val="false"/>
        <w:numPr>
          <w:ilvl w:val="1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568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aprovado o voto do Relator, o mesmo converter-se-á em parecer, que será encaminhado ao Presidente da Câmara para publicação e divulgação, inclusive por meios eletrônicos, pelo prazo de vinte e quatro horas;</w:t>
      </w:r>
    </w:p>
    <w:p>
      <w:pPr>
        <w:pStyle w:val="ListParagraph"/>
        <w:widowControl w:val="false"/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  <w:tab w:val="left" w:pos="1409" w:leader="none"/>
        </w:tabs>
        <w:suppressAutoHyphens w:val="false"/>
        <w:spacing w:before="0" w:after="0"/>
        <w:ind w:left="851" w:hanging="0"/>
        <w:contextualSpacing w:val="false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- </w:t>
      </w:r>
      <w:r>
        <w:rPr>
          <w:i/>
          <w:iCs/>
          <w:sz w:val="20"/>
          <w:szCs w:val="20"/>
        </w:rPr>
        <w:t>Finalizada a instrução na Comissão Especial, o Presidente da Câmara, depois de divulgado o parecer, incluirá a matéria na Ordem do Dia de Sessão Plenária.</w:t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 w:before="0" w:after="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§ 1º </w:t>
      </w:r>
      <w:r>
        <w:rPr>
          <w:i/>
          <w:iCs/>
          <w:sz w:val="20"/>
          <w:szCs w:val="20"/>
        </w:rPr>
        <w:t>As normas previstas para a tramitação ordinária de projetos de lei serão observadas, naquilo que esta Seção não dispuser em contrário.</w:t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 w:before="0" w:after="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§ 2º </w:t>
      </w:r>
      <w:r>
        <w:rPr>
          <w:i/>
          <w:iCs/>
          <w:sz w:val="20"/>
          <w:szCs w:val="20"/>
        </w:rPr>
        <w:t>A proposta de emenda à Lei Orgânica Municipal será discutida e votada em dois turnos, em Sessões Plenárias com intervalo mínimo de 7 (sete) dias, e a sua aprovação dependerá do voto favorável de dois terços dos membros da Câmara Municipal (no mínimo 6 votos).</w:t>
      </w:r>
    </w:p>
    <w:p>
      <w:pPr>
        <w:pStyle w:val="Corpodotexto"/>
        <w:shd w:val="clear" w:color="auto" w:fill="FFFFFF" w:themeFill="background1"/>
        <w:tabs>
          <w:tab w:val="clear" w:pos="720"/>
          <w:tab w:val="left" w:pos="426" w:leader="none"/>
          <w:tab w:val="left" w:pos="1134" w:leader="none"/>
        </w:tabs>
        <w:spacing w:lineRule="auto" w:line="240" w:before="0" w:after="0"/>
        <w:ind w:left="851" w:hanging="0"/>
        <w:jc w:val="both"/>
        <w:rPr>
          <w:i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 xml:space="preserve">§ 3º </w:t>
      </w:r>
      <w:r>
        <w:rPr>
          <w:i/>
          <w:iCs/>
          <w:sz w:val="20"/>
          <w:szCs w:val="20"/>
        </w:rPr>
        <w:t>A emenda à Lei Orgânica Municipal, depois de aprovada, definida sua Redação Final e divulgada, inclusive por meios eletrônicos, será numerada, promulgada e publicada pela Mesa Diretora.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  <w:t xml:space="preserve">Assim, a proposta atende os requisitos legais e formais de tramitação.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Calibri" w:hAnsi="Calibri" w:eastAsia="Calibri" w:cs="Calibri" w:asciiTheme="majorHAnsi" w:cstheme="majorHAnsi" w:hAnsiTheme="majorHAnsi"/>
          <w:b/>
          <w:b/>
          <w:bCs/>
        </w:rPr>
      </w:pPr>
      <w:r>
        <w:rPr>
          <w:rFonts w:eastAsia="Calibri" w:cs="Calibri" w:cstheme="majorHAnsi" w:ascii="Calibri" w:hAnsi="Calibri"/>
          <w:b/>
          <w:bCs/>
        </w:rPr>
        <w:t xml:space="preserve">Do objeto. </w:t>
      </w:r>
    </w:p>
    <w:p>
      <w:pPr>
        <w:pStyle w:val="LOnormal"/>
        <w:widowControl w:val="false"/>
        <w:suppressAutoHyphens w:val="true"/>
        <w:bidi w:val="0"/>
        <w:spacing w:before="0" w:after="0"/>
        <w:ind w:left="0" w:right="0" w:hanging="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  <w:t xml:space="preserve">Quanto ao objeto, a Lei Orgânica Municipal sofreu alterações em 2025, tendo a emenda 23 alterado os prazos previstos nos incisos II e III do art 107, que se refere aos projetos de Leis Orçamentárias. No entanto, na nova sistemática manteve os prazos do art. 108, o que provocou severa redução no tempo de tramitação dos referidos projetos.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  <w:t xml:space="preserve">A alteração ora proposta visa aumentar o prazo de tramitação do projeto de Lei das diretrizes orçamentárias, permitindo maior tempo de análise para qualificar a discussão da matéria. </w:t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widowControl w:val="false"/>
        <w:ind w:firstLine="850"/>
        <w:jc w:val="both"/>
        <w:rPr>
          <w:rFonts w:ascii="Calibri" w:hAnsi="Calibri" w:eastAsia="Calibri" w:cs="Calibri" w:asciiTheme="majorHAnsi" w:cstheme="majorHAnsi" w:hAnsiTheme="majorHAnsi"/>
          <w:bCs/>
        </w:rPr>
      </w:pPr>
      <w:r>
        <w:rPr>
          <w:rFonts w:eastAsia="Calibri" w:cs="Calibri" w:cstheme="majorHAnsi" w:ascii="Calibri" w:hAnsi="Calibri"/>
          <w:bCs/>
        </w:rPr>
      </w:r>
    </w:p>
    <w:p>
      <w:pPr>
        <w:pStyle w:val="LOnormal"/>
        <w:jc w:val="both"/>
        <w:rPr>
          <w:rFonts w:ascii="Calibri" w:hAnsi="Calibri" w:cs="Calibri" w:asciiTheme="majorHAnsi" w:cstheme="majorHAnsi" w:hAnsiTheme="majorHAnsi"/>
        </w:rPr>
      </w:pPr>
      <w:r>
        <w:rPr>
          <w:rFonts w:eastAsia="Calibri" w:cs="Calibri" w:ascii="Calibri" w:hAnsi="Calibri" w:asciiTheme="majorHAnsi" w:cstheme="majorHAnsi" w:hAnsiTheme="majorHAnsi"/>
          <w:b/>
          <w:u w:val="single"/>
        </w:rPr>
        <w:t>III – CONCLUSÃO</w:t>
      </w:r>
      <w:r>
        <w:rPr>
          <w:rFonts w:eastAsia="Calibri" w:cs="Calibri" w:ascii="Calibri" w:hAnsi="Calibri" w:asciiTheme="majorHAnsi" w:cstheme="majorHAnsi" w:hAnsiTheme="majorHAnsi"/>
          <w:b/>
        </w:rPr>
        <w:t xml:space="preserve"> </w:t>
      </w:r>
    </w:p>
    <w:p>
      <w:pPr>
        <w:pStyle w:val="LOnormal"/>
        <w:ind w:left="2260" w:firstLine="7"/>
        <w:jc w:val="both"/>
        <w:rPr>
          <w:rFonts w:ascii="Calibri" w:hAnsi="Calibri" w:eastAsia="Calibri" w:cs="Calibri" w:asciiTheme="majorHAnsi" w:cstheme="majorHAnsi" w:hAnsiTheme="majorHAnsi"/>
          <w:i/>
          <w:i/>
        </w:rPr>
      </w:pPr>
      <w:r>
        <w:rPr>
          <w:rFonts w:eastAsia="Calibri" w:cs="Calibri" w:cstheme="majorHAnsi" w:ascii="Calibri" w:hAnsi="Calibri"/>
          <w:i/>
        </w:rPr>
      </w:r>
    </w:p>
    <w:p>
      <w:pPr>
        <w:pStyle w:val="LO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 w:asciiTheme="majorHAnsi" w:cstheme="majorHAnsi" w:hAnsiTheme="majorHAnsi"/>
        </w:rPr>
        <w:t xml:space="preserve">Assim sendo, esta Assessoria Jurídica opina pela </w:t>
      </w:r>
      <w:r>
        <w:rPr>
          <w:rFonts w:eastAsia="Calibri" w:cs="Calibri" w:ascii="Calibri" w:hAnsi="Calibri" w:asciiTheme="majorHAnsi" w:cstheme="majorHAnsi" w:hAnsiTheme="majorHAnsi"/>
          <w:b/>
          <w:i/>
        </w:rPr>
        <w:t xml:space="preserve">legalidade </w:t>
      </w:r>
      <w:r>
        <w:rPr>
          <w:rFonts w:eastAsia="Calibri" w:cs="Calibri" w:ascii="Calibri" w:hAnsi="Calibri" w:asciiTheme="majorHAnsi" w:cstheme="majorHAnsi" w:hAnsiTheme="majorHAnsi"/>
        </w:rPr>
        <w:t>e</w:t>
      </w:r>
      <w:r>
        <w:rPr>
          <w:rFonts w:eastAsia="Calibri" w:cs="Calibri" w:ascii="Calibri" w:hAnsi="Calibri" w:asciiTheme="majorHAnsi" w:cstheme="majorHAnsi" w:hAnsiTheme="majorHAnsi"/>
          <w:b/>
          <w:i/>
        </w:rPr>
        <w:t xml:space="preserve"> constitucionalidade</w:t>
      </w:r>
      <w:r>
        <w:rPr>
          <w:rFonts w:eastAsia="Calibri" w:cs="Calibri" w:ascii="Calibri" w:hAnsi="Calibri" w:asciiTheme="majorHAnsi" w:cstheme="majorHAnsi" w:hAnsiTheme="majorHAnsi"/>
          <w:i/>
        </w:rPr>
        <w:t xml:space="preserve"> </w:t>
      </w:r>
      <w:r>
        <w:rPr>
          <w:rFonts w:eastAsia="Calibri" w:cs="Calibri" w:ascii="Calibri" w:hAnsi="Calibri" w:asciiTheme="majorHAnsi" w:cstheme="majorHAnsi" w:hAnsiTheme="majorHAnsi"/>
        </w:rPr>
        <w:t xml:space="preserve">do referido Projeto de Emenda à Lei Orgânica, </w:t>
      </w:r>
      <w:r>
        <w:rPr>
          <w:rFonts w:eastAsia="Calibri" w:cs="Calibri" w:ascii="Calibri" w:hAnsi="Calibri"/>
        </w:rPr>
        <w:t>tendo em vista que em análise não se observou qualquer vício em sua redação.</w:t>
      </w:r>
    </w:p>
    <w:p>
      <w:pPr>
        <w:pStyle w:val="LOnormal"/>
        <w:ind w:firstLine="850"/>
        <w:jc w:val="both"/>
        <w:rPr/>
      </w:pPr>
      <w:r>
        <w:rPr/>
      </w:r>
    </w:p>
    <w:p>
      <w:pPr>
        <w:pStyle w:val="LO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Portanto, 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ind w:firstLine="850"/>
        <w:jc w:val="both"/>
        <w:rPr/>
      </w:pPr>
      <w:r>
        <w:rPr/>
      </w:r>
    </w:p>
    <w:p>
      <w:pPr>
        <w:pStyle w:val="LO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Este é o parecer.</w:t>
      </w:r>
    </w:p>
    <w:p>
      <w:pPr>
        <w:pStyle w:val="LOnormal"/>
        <w:ind w:firstLine="850"/>
        <w:jc w:val="both"/>
        <w:rPr/>
      </w:pPr>
      <w:r>
        <w:rPr/>
      </w:r>
    </w:p>
    <w:p>
      <w:pPr>
        <w:pStyle w:val="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Igrejinha, 1</w:t>
      </w:r>
      <w:r>
        <w:rPr>
          <w:rFonts w:eastAsia="Calibri" w:cs="Calibri" w:ascii="Calibri" w:hAnsi="Calibri"/>
        </w:rPr>
        <w:t>º</w:t>
      </w:r>
      <w:r>
        <w:rPr>
          <w:rFonts w:eastAsia="Calibri" w:cs="Calibri" w:ascii="Calibri" w:hAnsi="Calibri"/>
        </w:rPr>
        <w:t xml:space="preserve"> de </w:t>
      </w:r>
      <w:r>
        <w:rPr>
          <w:rFonts w:eastAsia="Calibri" w:cs="Calibri" w:ascii="Calibri" w:hAnsi="Calibri"/>
        </w:rPr>
        <w:t xml:space="preserve">outubro </w:t>
      </w:r>
      <w:r>
        <w:rPr>
          <w:rFonts w:eastAsia="Calibri" w:cs="Calibri" w:ascii="Calibri" w:hAnsi="Calibri"/>
        </w:rPr>
        <w:t>de 2026.</w:t>
      </w:r>
    </w:p>
    <w:p>
      <w:pPr>
        <w:pStyle w:val="Normal"/>
        <w:ind w:firstLine="85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ind w:firstLine="85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ind w:firstLine="85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"/>
        <w:ind w:firstLine="85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 xml:space="preserve">Anderson Fidelis de Araujo </w:t>
      </w:r>
    </w:p>
    <w:p>
      <w:pPr>
        <w:pStyle w:val="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Assessor Jurídico</w:t>
      </w:r>
    </w:p>
    <w:p>
      <w:pPr>
        <w:pStyle w:val="Normal"/>
        <w:ind w:firstLine="85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OAB/RS 58.063.</w:t>
      </w:r>
    </w:p>
    <w:p>
      <w:pPr>
        <w:pStyle w:val="Normal"/>
        <w:widowControl w:val="false"/>
        <w:jc w:val="both"/>
        <w:rPr>
          <w:rFonts w:ascii="Calibri" w:hAnsi="Calibri" w:eastAsia="Calibri" w:cs="Calibri" w:asciiTheme="majorHAnsi" w:cstheme="majorHAnsi" w:hAnsiTheme="majorHAnsi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rebuchet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hyperlink r:id="rId1">
      <w:r>
        <w:rPr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843" w:hanging="122"/>
      </w:pPr>
      <w:rPr>
        <w:sz w:val="17"/>
        <w:spacing w:val="0"/>
        <w:i w:val="false"/>
        <w:b/>
        <w:szCs w:val="17"/>
        <w:iCs w:val="false"/>
        <w:bCs/>
        <w:w w:val="132"/>
        <w:rFonts w:ascii="Trebuchet MS" w:hAnsi="Trebuchet MS" w:eastAsia="Trebuchet MS" w:cs="Trebuchet MS"/>
        <w:lang w:val="pt-P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69" w:hanging="245"/>
      </w:pPr>
      <w:rPr>
        <w:sz w:val="17"/>
        <w:spacing w:val="0"/>
        <w:i/>
        <w:b/>
        <w:szCs w:val="17"/>
        <w:iCs/>
        <w:bCs/>
        <w:w w:val="116"/>
        <w:rFonts w:ascii="Trebuchet MS" w:hAnsi="Trebuchet MS" w:eastAsia="Trebuchet MS" w:cs="Trebuchet MS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98" w:hanging="245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37" w:hanging="245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6" w:hanging="245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4" w:hanging="245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53" w:hanging="245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92" w:hanging="245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30" w:hanging="245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1"/>
    <w:qFormat/>
    <w:rsid w:val="00896b7c"/>
    <w:pPr>
      <w:spacing w:before="0" w:after="0"/>
      <w:ind w:left="720" w:hanging="0"/>
      <w:contextualSpacing/>
    </w:pPr>
    <w:rPr/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rsid w:val="00f11b5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LibreOffice/7.4.0.3$Windows_X86_64 LibreOffice_project/f85e47c08ddd19c015c0114a68350214f7066f5a</Application>
  <AppVersion>15.0000</AppVersion>
  <Pages>3</Pages>
  <Words>948</Words>
  <Characters>4993</Characters>
  <CharactersWithSpaces>5902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2025-12-09T18:24:00Z</dcterms:created>
  <dc:creator>A.F.A Advogado</dc:creator>
  <dc:description/>
  <dc:language>pt-BR</dc:language>
  <cp:lastModifiedBy/>
  <cp:lastPrinted>2026-10-06T14:55:01Z</cp:lastPrinted>
  <dcterms:modified xsi:type="dcterms:W3CDTF">2026-10-06T14:56:36Z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